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2765" cy="35052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INGENIERÍA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7130" cy="579120"/>
                  <wp:effectExtent l="0" t="0" r="0" b="0"/>
                  <wp:docPr id="2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CARACTERIZACIÓN DE MATERIALES II              CLAVE:</w:t>
        <w:softHyphen/>
        <w:softHyphen/>
        <w:softHyphen/>
        <w:t>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0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El estudiante determinará las técnicas de caracterización que permitan identificar las propiedades físicas y químicas de los nanomateriales, para contribuir en el diseño de los procesos de producción de los materiales nanoestructurados.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both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Séptimo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6.562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105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0" w:name="_heading=h.gjdgxs"/>
      <w:bookmarkStart w:id="1" w:name="_heading=h.gjdgxs"/>
      <w:bookmarkEnd w:id="1"/>
    </w:p>
    <w:tbl>
      <w:tblPr>
        <w:tblStyle w:val="a1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1.- Técnicas para el análisis del tamaño y área superficial de partícula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2.- Técnicas de Dureza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3.- Técnicas Fototérmicas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 xml:space="preserve">4.-Técnicas complementarias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60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105</w:t>
            </w:r>
          </w:p>
        </w:tc>
      </w:tr>
    </w:tbl>
    <w:tbl>
      <w:tblPr>
        <w:tblStyle w:val="a2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Justificar el diseño de un nanomaterial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Diseñar procedimientos para aplicar técnicas de caracterización con base al tipo de nanomaterial, requerimientos del cliente, normatividad aplicable y condiciones de seguridad, para asegurar la calidad del producto.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Realizar una propuesta de caracterización de materiales,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tipo de material.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requerimientos del cliente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propiedades y parámetros a evaluar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propuesta de técnicas a emplear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Evaluar los diferentes riesgos en la cadena de suministros de nanomateriales conforme a la normatividad aplicable para establecer condiciones de seguridad ambiental y social, considerando principios éticos y de equidad.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Evaluar las nanoestructuras y los procesos de síntesis de los nanomateriales con base de simulaciones, registros de cada proceso, técnicas estadísticas y resultados de la caracterización, para evaluar la eficacia de su producción y el cumplimiento de los requerimientos del cliente.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1) Realiza los diagramas de proceso e instrumentación, calcula los balances de materia y energía y apoya en estudios de impacto ambiental de procesos.                                                                                               2) Simula las etapas del proceso empleando software especializado.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Evaluar el proceso de integración de nanoestructuras y nanomateriales con base en los registros del proceso, los resultados de la caracterización y mediante técnicas estadísticas establecidas para contribuir al cumplimiento de los requerimientos del cliente.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Elaborar un reporte técnico de producción de nanomateriales: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material producido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especificaciones técnicas requeridas,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técnicas aplicadas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equipos, materiales y reactivos empleados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normatividad de referencia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reporte de resultados de caracterización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dictamen del cumplimiento de las especificaciones técnicas requeridas.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observaciones y conclusiones.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evidencias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- firma del responsable de la validación.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Definir las aplicaciones de los nanomateriales con base a sus características y propiedades físico-químicas obtenidas (tamaño, forma, composición y estructura de superficie) mediante su caracterización, correlacionando diferentes tamaños, formas, composición y estructura de superficie, así como carga, para determinar sus aplicaciones a nivel macroscópico.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highlight w:val="yellow"/>
              </w:rPr>
            </w:pPr>
            <w:r>
              <w:rPr>
                <w:rFonts w:cs="Calibri" w:cstheme="majorHAnsi"/>
              </w:rPr>
              <w:t>Establece correlación entre las diferentes propiedades macroscópicas que pueden presentar los materiales en escala nanométrica.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Establecer procedimientos con base al tipo de nanomaterial, requerimientos del cliente, normatividad aplicable y condiciones de seguridad, para aplicar técnicas de caracterización y asegurar la calidad del producto.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Desarrolla procedimientos de caracterización de materiales para las técnicas seleccionadas, incluyendo los siguientes elementos: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objetivo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alcance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definiciones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políticas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diagrama de proceso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proceso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formatos y registros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- condiciones de seguridad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normas aplicables.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/>
              </w:rPr>
              <w:t>I. Técnicas para el análisis del tamaño de partícula y del área superficial de partícula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</w:rPr>
              <w:t>El estudiante determinará el tamaño de partícula y propiedades texturales en materiales nano-estructurados para su aplicación en la industria.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Medición del tamaño de partícula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técnicas directas e indirectas para la determinación del tamaño de partícula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los intervalos del espectro electromagnético asociados a la determinación del tamaño de partícula de los nanomateriales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los principios de funcionamiento y operación de un espectrofotómetro UV-Vis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los parámetros involucrados en la dispersión dinámica de la luz (índice de refracción, radio de curvatura, distancia focal, movimiento browniano, ley de Snell, Principio de Fermat)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de las nanopartículas a partir de los plasmones de los espectros de absorción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el tamaño y forma de las nanopartículas a partir de los parámetros ópticos de la dispersión dinámica de la luz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Analizar de manera proactiva y mediante el trabajo en equipo, la problemática a resolver, siendo responsables de la veracidad de los resultados.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Desarrollar el pensamiento analítico a través del análisis de casos.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Medición de la porosidad en nanoestructuras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Explicar los fundamentos físicos de la técnica por fisisorción de gas: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absorción, adsorción fisisorción, quimisorción y distancia de adsorción, solido poroso, volumen de poros, tamaño de poros, área superficial y distribución del tamaño de poros.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Describir cualitativamente las características de los sólidos porosos.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métodos BET y BJH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Explicar los tipos de isotermas obtenidos de la fisisorción de gases.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los componentes texturales de un sólido poroso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Determinar la porosidad de nanomateriales aplicando el método BET 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Determinar la distribución de la porosidad de nanomateriales aplicando el método BJH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Interpretar las características de las isotermas que pueden obtenerse con los métodos de fisisorción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Prácticas de laboratorio.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Investigación. 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Arial" w:ascii="Arial" w:hAnsi="Arial"/>
                <w:lang w:val="es-ES_tradnl"/>
              </w:rPr>
              <w:t>-</w:t>
            </w:r>
            <w:r>
              <w:rPr>
                <w:rFonts w:eastAsia="MS Mincho" w:cs="Calibri" w:cstheme="majorHAnsi"/>
                <w:lang w:val="es-ES_tradnl"/>
              </w:rPr>
              <w:t>Laboratorio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-Muestras de materiales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-Equipo de Laboratorio de pruebas: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 </w:t>
            </w:r>
            <w:r>
              <w:rPr>
                <w:rFonts w:eastAsia="MS Mincho" w:cs="Calibri" w:cstheme="majorHAnsi"/>
                <w:lang w:val="es-ES_tradnl"/>
              </w:rPr>
              <w:t>UV-Vis, DLS, Fisisorción- desorción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-Equipo de cómputo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-manuales de seguridad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-Equipo de seguridad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A partir de un caso práctico de mediciones de propiedades de superficie, elaborar un reporte que contenga: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Justificación de cada técnica utilizada.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Descripción de las condiciones de proceso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 Proceso de análisis.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Interpretación de los resultados obtenidos.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/>
                <w:lang w:val="es-ES_tradnl"/>
              </w:rPr>
              <w:t>- Conclusiones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 xml:space="preserve">1.  Comprender los fundamentos de la   interacción de la luz con la materia para determinar el tamaño de partícula 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2. Identificar las técnicas de análisis de área superficial.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3. Identificar las propiedades superficiales de materiales, tamaño y forma de partícula.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4. Comprender los fundamentos de la fisisorción para determinar las propiedades texturales de sólidos porosos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rFonts w:eastAsia="MS Mincho"/>
                <w:lang w:val="es-ES_tradnl"/>
              </w:rPr>
              <w:t>5. Interpretar isotermas y bucles de histéresis.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MS Mincho"/>
                <w:lang w:val="es-ES_tradnl"/>
              </w:rPr>
              <w:t>Lista de cotejo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/>
              </w:rPr>
              <w:t>II. Técnicas de dureza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</w:rPr>
              <w:t>El estudiante determinará la dureza en los materiales nano-estructurados para su aplicación en la industria.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Principios de las técnicas para la medición de dureza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Explicar el fundamento de las técnicas de dureza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Describir el módulo de Young y sus componentes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las unidades de dureza, sus conversiones y equivalencias.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Identificar las partes y componentes de los equipos de ensayo de dureza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Describir los procesos de calibración de los equipos de ensayo de dureza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Calcular el módulo de Young y sus equivalencias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Verificar que los equipos de ensayo de dureza se encuentren calibrados previo a los ensayos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Ensayos de microdureza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Describir el procedimiento experimental de microdureza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Describir el método de análisis por Oliver y Pharr.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Explicar el ensayo de dureza Vickers y Knoop   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Elegir el tipo de ensayo de dureza en función del tipo de materiales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Analizar los resultados de la indentación por diferentes métodos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Ensayos de nano-indentación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Describir el proceso de nano indentación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Distinguir las diferencias entre el concepto de micro indentación y de nano indentación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Identificar los componentes de un equipo para ensayos de nanoindentación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Describir las rutinas de calibración del equipo de nano-indentación: ajuste de balanceo del péndulo; detección del contacto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Inicial muestra-indentador; detección de los niveles de vibración.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Describir el proceso de calibración de peso y profundidad de indentación en función del área de diamante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Verificar la calibración del nano-indentador.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Ejecutar ensayos de dureza por nano-indentación.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Determinar la dureza de materiales nano-estructurados a través de los resultados de la nano-indentación.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Espectrometría de Resonancia Ultrasónica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el fundamento de espectrometría de resonancia ultrasónica.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en los parámetros resonantes, los componentes del módulo de Young.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el método cuasi-estático y el método de pulsos.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cs="Calibri" w:cstheme="majorHAnsi"/>
                <w:bCs/>
              </w:rPr>
              <w:t>Explicar las ventajas y desventajas de la técnica (URE)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Ejecutar pruebas de espectrometría de resonancia ultrasónica en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Determinar el módulo de Young en materiales nano-estructurados a partir de la técnica URE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 xml:space="preserve">Prácticas  de  laboratorio. 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 xml:space="preserve">Investigación. 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MS Mincho"/>
                <w:lang w:val="es-ES_tradnl"/>
              </w:rPr>
              <w:t>Equipos colaborativo.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Laboratorio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Muestras de materiales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Equipo de Laboratorio de pruebas: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MS Mincho"/>
                <w:lang w:val="es-ES_tradnl"/>
              </w:rPr>
              <w:t>-Micro y Nano-indentador, URE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A partir de un caso práctico de mediciones de nanodureza, entregará un reporte que contenga: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-Resultado de la verificación del nano-indentador.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Justificación de la técnica de nano-indentación.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Descripción del proceso de análisis.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Interpretación de los resultados obtenidos.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- Conclusiones.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1. Comprende el fundamento de la técnica de nano-indentación.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2. Identifica los componentes del nano-indentador para la calibración y posterior medición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3. Identifica las acciones de verificación del nano-indentador.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4. Analiza los resultados experimentales.</w:t>
            </w:r>
          </w:p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MS Mincho"/>
                <w:lang w:val="es-ES_tradnl"/>
              </w:rPr>
              <w:t>Lista de cotejo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/>
              </w:rPr>
              <w:t>III. Técnicas Fototérmicas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</w:rPr>
              <w:t>El estudiante ejecutará las técnicas de radiometría fototérmica infrarroja, fotoacústica y fotopiroeléctrica para determinar la presencia de defectos en los materiales nanoestructurados 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Fundamentos de Conducción y transferencia de calor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Reconocer los fundamentos y mecanismos de transferencia de calor.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Reconocer el principio de radiación de cuerpo negro de Plank.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la ecuación de Velocidad por la ley de Fourier.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el Coeficiente de conductividad Térmica.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el funcionamiento de la cámara fototérmica.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Identificar los tipos de materiales que se emplean en la fabricación de los sensores de radiación infrarroja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Calcular la cantidad de energía emitida por radiación por un cuerpo negro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Seleccionar las fuentes de emisión de calor en función de la radiación.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Seleccionar el tipo de detector de radiación infrarroja.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Analizar de manera proactiva y mediante el trabajo en equipo, la problemática a resolver, siendo responsables de la veracidad de los resultados.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Desarrollar el pensamiento analítico a través del análisis de casos.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Técnicas de Radiometría Fototérmica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Explicar el fundamento físico de la técnica de Radiometría fototérmica Infrarroja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Describir las características de las ondas térmicas: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Radiometría infrarroja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Efecto Mirage "Espejo"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Arial" w:cs="Calibri" w:cstheme="majorHAnsi"/>
                <w:lang w:val="es-ES_tradnl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los fundamentos de las técnicas de: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- fotoacústica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- microscopía fotopiroeléctrica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Identificar sensores piroeléctricos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Explicar el fundamento de detección de defectos internos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bCs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Ejecutar pruebas de radiometría fototérmica de infrarrojo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Termografía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los fundamentos de la teoría de la Termografía.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la ley de Kirchhoff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 el concepto y características de la estructura de la superficie.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los tipos de muestra termográfica, la suciedad y partículas en la muestra.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el concepto de temperatura ambiente y su relación con la termografía.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Explicar las características especiales de la Termografía en exteriores.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Explicar las técnicas de medición termográfica en cristales y metales.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Demostrar la ley de Kirchhoff.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Ejecutar pruebas de Termografía.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Preparar la imagen en cristales y metales.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Explica las características de la imagen termográfica.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Prácticas de laboratorio.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Investigación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Equipos colaborativos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Laboratorio: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-Muestras de materiales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Equipo sugerido de Laboratorio de pruebas: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-PTR (Radiometría fototérmica Infrarroja)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fotoacústica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fotopiroelectrica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-Cámara termográfica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A partir de un caso práctico de mediciones de radiometría infrarroja fotoacústica, entregará un reporte que contenga: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-Fundamento de la técnica utilizada.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Descripción del proceso de análisis.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- Interpretación de los resultados obtenidos.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MS Mincho" w:cs="Calibri" w:cstheme="majorHAnsi"/>
                <w:lang w:val="es-ES_tradnl"/>
              </w:rPr>
              <w:t>- Conclusiones.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 xml:space="preserve">1. Reconoce los fundamentos y mecanismos de transferencia de calor. 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2. Comprende el fundamento físico de radiometría fototérmica infrarroja, fotopiroeléctrica y térmica</w:t>
            </w:r>
          </w:p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MS Mincho" w:cs="Calibri" w:cstheme="majorHAnsi"/>
                <w:lang w:val="es-ES_tradnl"/>
              </w:rPr>
              <w:t>3. Interpreta las mediciones termográficas en cristales y metales.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MS Mincho" w:cs="Calibri" w:asciiTheme="majorHAnsi" w:cstheme="majorHAnsi" w:hAnsiTheme="majorHAnsi"/>
                <w:lang w:val="es-ES_tradnl"/>
              </w:rPr>
            </w:pPr>
            <w:r>
              <w:rPr>
                <w:rFonts w:eastAsia="MS Mincho" w:cs="Calibri" w:cstheme="majorHAnsi"/>
                <w:lang w:val="es-ES_tradnl"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MS Mincho" w:cs="Calibri" w:cstheme="majorHAnsi"/>
                <w:lang w:val="es-ES_tradnl"/>
              </w:rPr>
              <w:t>Lista de cotejo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/>
              </w:rPr>
              <w:t xml:space="preserve">IV. Técnicas complementarias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</w:rPr>
              <w:t>El estudiante manejará técnicas que le permitan llevar a cabo un análisis complementario de los materiales que se encuentre desarrollando en sus proyectos.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000000"/>
              </w:rPr>
              <w:t>Análisis dinámico mecánico (DMA)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  <w:color w:val="000000"/>
              </w:rPr>
              <w:t>Identificar el principio del DMA.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  <w:color w:val="000000"/>
              </w:rPr>
              <w:t>Describir los experimentos incluidos en la técnica: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Creep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Experimento de relajación de estrés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Corte dinámico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Corte estacionario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  <w:color w:val="000000"/>
              </w:rPr>
              <w:t>Identificar el fundamento de operación del equipo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  <w:color w:val="000000"/>
              </w:rPr>
              <w:t>Determinar: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 w:asciiTheme="majorHAnsi" w:cstheme="majorHAnsi" w:hAnsiTheme="majorHAnsi"/>
              </w:rPr>
            </w:pPr>
            <w:r>
              <w:rPr>
                <w:rFonts w:eastAsia="Times New Roman" w:cs="Calibri" w:cstheme="majorHAnsi"/>
              </w:rPr>
              <w:br/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Propiedades viscoelásticas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Temperatura de elongación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780" w:hanging="360"/>
              <w:textAlignment w:val="baseline"/>
              <w:rPr>
                <w:rFonts w:ascii="Calibri" w:hAnsi="Calibri" w:eastAsia="Times New Roman" w:cs="Calibri" w:asciiTheme="majorHAnsi" w:cstheme="majorHAnsi" w:hAnsiTheme="majorHAnsi"/>
                <w:color w:val="000000"/>
              </w:rPr>
            </w:pPr>
            <w:r>
              <w:rPr>
                <w:rFonts w:eastAsia="Times New Roman" w:cs="Calibri" w:cstheme="majorHAnsi"/>
                <w:color w:val="000000"/>
              </w:rPr>
              <w:t>Módulo de elasticidad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Analizar de manera proactiva y mediante el trabajo en equipo, la problemática a resolver, siendo responsables de la veracidad de los resultados.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Desarrollar el pensamiento analítico a través del análisis de casos.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Técnicas electroquímicas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técnicas electroquímicas: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curva de polarización (procesos de pasivación, activación, transpasivación y zona mixta)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ruido electroquímico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Impedancia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el principio de Bode.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el principio de Evans.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el Principio del argumento de Nyquist.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los potenciales de óxido- reducción en sistemas electroquímicos.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Interpretar las curvas de polarización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Ejecutar la técnica de ruido electroquímico en sistemas.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Seleccionar el diagrama de acuerdo a la técnica electroquímica.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Fluorescencia de Rayos X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Conocer los fundamentos de la técnica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Identificar los elementos del equipo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el principio de </w:t>
            </w:r>
            <w:r>
              <w:rPr>
                <w:rFonts w:cs="Calibri" w:cstheme="majorHAnsi"/>
                <w:color w:val="000000"/>
              </w:rPr>
              <w:t>radiación X fluorescente o secundaria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espectros fluorescentes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Interpretar el análisis químico elemental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Cuantificar elementos entre el </w:t>
            </w:r>
            <w:r>
              <w:rPr>
                <w:rFonts w:cs="Calibri" w:cstheme="majorHAnsi"/>
                <w:color w:val="000000"/>
              </w:rPr>
              <w:t>flúor (F) y el uranio (U) de muestras sólidas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Prácticas de laboratorio.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Investigación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Equipos colaborativos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Laboratorio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Reactivos químicos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 de Laboratorio sugerido: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-Electrodos de disco rotatorio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-Potenciostato-Galvanostato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-Pulidora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-Cámara salina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-Cómputo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-Manuales de seguridad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-Equipo de seguridad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A partir de un caso de estudio de un sistema en general, el estudiante entregará un reporte que contenga: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- Descripción del proceso.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 Resultados e interpretación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-  Conclusiones.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 Reconocer el principio de óxido-reducción.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2. Diferenciar los procesos de pasivación, transpasivación, activación y zona mixta.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3. Interpretar los diagramas de Pourbaix, Bode, Nyquist, Evans.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4.Interpretar espectros fluorescentes.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5. Interpretar el análisis químico elemental.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</w:rPr>
            </w:pPr>
            <w:r>
              <w:rPr/>
              <w:t xml:space="preserve">6.   </w:t>
            </w:r>
            <w:r>
              <w:rPr>
                <w:rFonts w:eastAsia="Times New Roman"/>
                <w:color w:val="000000"/>
              </w:rPr>
              <w:t>Determinar propiedades viscoelásticas, temperatura de elongación y módulo de elasticidad.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MS Mincho"/>
                <w:lang w:val="es-ES_tradnl"/>
              </w:rPr>
            </w:pPr>
            <w:r>
              <w:rPr>
                <w:rFonts w:eastAsia="MS Mincho"/>
                <w:lang w:val="es-ES_tradnl"/>
              </w:rPr>
              <w:t>Ejercicios prácticos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MS Mincho"/>
                <w:lang w:val="es-ES_tradnl"/>
              </w:rPr>
              <w:t>Lista de cotejo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Ingeniería, Maestría y/o Doctorado en el área de materiales o áreas afines: Metalurgia, Nanotecnológos, Tecnología Avanzada, Química.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Con experiencia docente, cursos o capacitaciones en el enfoque basado en competencias y manejo de TIC’s para fines didácticos.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Preferentemente en el área de su formación profesional, procesos de manufactura de materiales, laboratorio de pruebas físicas y mecánicas, caracterización de materiales.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color w:val="FFFFFF" w:themeColor="background1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 xml:space="preserve">Walker, James  S.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i/>
              </w:rPr>
              <w:t>Física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>9786073228305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lang w:val="en-US"/>
              </w:rPr>
              <w:t>Douglas A. Skoog, Donald M. West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lang w:val="en-US"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i/>
              </w:rPr>
              <w:t>Introducción a la Química Analítica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Barcelona,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Reverté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>978-8429175110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  <w:lang w:val="en-US"/>
              </w:rPr>
              <w:t xml:space="preserve">Kitagawa, S., R.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2004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i/>
                <w:i/>
              </w:rPr>
            </w:pPr>
            <w:r>
              <w:rPr>
                <w:rFonts w:cs="Calibri" w:cstheme="majorHAnsi"/>
                <w:i/>
                <w:lang w:val="en-US"/>
              </w:rPr>
              <w:t>Functional Porous Coordination Polymers.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Washington, 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>10. 0323955355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lang w:val="en-US"/>
              </w:rPr>
            </w:pPr>
            <w:r>
              <w:rPr>
                <w:rFonts w:cs="Calibri" w:cstheme="majorHAnsi"/>
              </w:rPr>
              <w:t>Martín Martínez José Miguel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i/>
              </w:rPr>
              <w:t xml:space="preserve">Adsorción Física de gases y vapores por carbono 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i/>
                <w:i/>
                <w:lang w:val="en-US"/>
              </w:rPr>
            </w:pPr>
            <w:r>
              <w:rPr>
                <w:rFonts w:cs="Calibri" w:cstheme="majorHAnsi"/>
                <w:i/>
                <w:lang w:val="en-US"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Alicante,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Universidad de Alicante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>9788486809331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Dickerson Gray Darensburg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i/>
                <w:i/>
              </w:rPr>
            </w:pPr>
            <w:r>
              <w:rPr>
                <w:rFonts w:cs="Calibri" w:cstheme="majorHAnsi"/>
                <w:i/>
              </w:rPr>
              <w:t>Principios de Química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Barcelona,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Reverté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 xml:space="preserve"> </w:t>
            </w:r>
            <w:r>
              <w:rPr>
                <w:rFonts w:cs="Calibri" w:cstheme="majorHAnsi"/>
                <w:shd w:fill="FFFFFF" w:val="clear"/>
              </w:rPr>
              <w:t>9788429171754.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Ceuret F.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i/>
              </w:rPr>
              <w:t>Introducción a la Ingeniería Electroquímica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i/>
                <w:i/>
              </w:rPr>
            </w:pPr>
            <w:r>
              <w:rPr>
                <w:rFonts w:cs="Calibri" w:cstheme="majorHAnsi"/>
                <w:i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Barcelona,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Reverté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shd w:fill="FFFFFF" w:val="clear"/>
              </w:rPr>
              <w:t>9788429171174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Style w:val="a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Times New Roman" w:cs="Calibri" w:cstheme="majorHAnsi"/>
                <w:color w:val="000000"/>
              </w:rPr>
              <w:t>Aditya Singh Panwar, Armender Singh, Shankar Sehgal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2020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Times New Roman" w:cs="Calibri" w:cstheme="majorHAnsi"/>
                <w:color w:val="000000"/>
              </w:rPr>
              <w:t>Material characterization techniques in engineering applications: A review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hyperlink r:id="rId4">
              <w:r>
                <w:rPr>
                  <w:rFonts w:eastAsia="Times New Roman" w:cs="Calibri" w:cstheme="majorHAnsi"/>
                  <w:color w:val="000000"/>
                </w:rPr>
                <w:t>10.1016/j.matpr.2020.05.337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hyperlink r:id="rId5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Christine Vanhoof</w:t>
              </w:r>
            </w:hyperlink>
            <w:r>
              <w:rPr>
                <w:rStyle w:val="Articleauthorlink"/>
                <w:rFonts w:cs="Calibri" w:cstheme="majorHAnsi"/>
                <w:shd w:fill="FFFFFF" w:val="clear"/>
              </w:rPr>
              <w:t>,   </w:t>
            </w:r>
            <w:hyperlink r:id="rId6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Jeffrey R. Bacon</w:t>
              </w:r>
            </w:hyperlink>
            <w:r>
              <w:rPr>
                <w:rStyle w:val="Articleauthorlink"/>
                <w:rFonts w:cs="Calibri" w:cstheme="majorHAnsi"/>
                <w:shd w:fill="FFFFFF" w:val="clear"/>
              </w:rPr>
              <w:t>,   </w:t>
            </w:r>
            <w:hyperlink r:id="rId7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Ursula E. A. Fittschen</w:t>
              </w:r>
            </w:hyperlink>
            <w:r>
              <w:rPr>
                <w:rStyle w:val="Articleauthorlink"/>
                <w:rFonts w:cs="Calibri" w:cstheme="majorHAnsi"/>
                <w:shd w:fill="FFFFFF" w:val="clear"/>
              </w:rPr>
              <w:t>  and  </w:t>
            </w:r>
            <w:hyperlink r:id="rId8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Laszlo Vincze</w:t>
              </w:r>
            </w:hyperlink>
            <w:r>
              <w:rPr>
                <w:rStyle w:val="Articleauthorlink"/>
                <w:rFonts w:cs="Calibri" w:cstheme="majorHAnsi"/>
                <w:shd w:fill="FFFFFF" w:val="clear"/>
              </w:rPr>
              <w:t> 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2021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2"/>
              <w:widowControl w:val="false"/>
              <w:shd w:val="clear" w:color="auto" w:fill="FFFFFF"/>
              <w:spacing w:lineRule="atLeast" w:line="420" w:before="0" w:after="0"/>
              <w:rPr>
                <w:rFonts w:ascii="Calibri" w:hAnsi="Calibri" w:cs="Calibri" w:asciiTheme="majorHAnsi" w:cstheme="majorHAnsi" w:hAnsiTheme="majorHAnsi"/>
                <w:b w:val="false"/>
                <w:b w:val="false"/>
                <w:bCs/>
                <w:spacing w:val="-7"/>
                <w:sz w:val="22"/>
                <w:szCs w:val="22"/>
              </w:rPr>
            </w:pPr>
            <w:r>
              <w:rPr>
                <w:rFonts w:cs="Calibri" w:cstheme="majorHAnsi"/>
                <w:b w:val="false"/>
                <w:bCs/>
                <w:spacing w:val="-7"/>
                <w:sz w:val="22"/>
                <w:szCs w:val="22"/>
              </w:rPr>
              <w:t>Atomic spectrometry update – a review of advances in X-ray fluorescence spectrometry and its special applications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hyperlink r:id="rId9" w:tgtFrame="Link to landing page via DOI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10.1039/D1JA90033A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Style w:val="Articleauthorlink"/>
                <w:rFonts w:ascii="Calibri" w:hAnsi="Calibri" w:cs="Calibri" w:asciiTheme="majorHAnsi" w:cstheme="majorHAnsi" w:hAnsiTheme="majorHAnsi"/>
                <w:shd w:fill="FFFFFF" w:val="clear"/>
              </w:rPr>
            </w:pPr>
            <w:r>
              <w:rPr>
                <w:rStyle w:val="Alauthornamemore"/>
                <w:rFonts w:cs="Calibri" w:cstheme="majorHAnsi"/>
                <w:color w:val="2A2A2A"/>
                <w:shd w:fill="FFFFFF" w:val="clear"/>
              </w:rPr>
              <w:t>Sudeshna Patra</w:t>
            </w:r>
            <w:r>
              <w:rPr>
                <w:rStyle w:val="Delimiter"/>
                <w:rFonts w:cs="Calibri" w:cstheme="majorHAnsi"/>
                <w:color w:val="2A2A2A"/>
                <w:shd w:fill="FFFFFF" w:val="clear"/>
              </w:rPr>
              <w:t>,</w:t>
            </w:r>
            <w:r>
              <w:rPr>
                <w:rFonts w:cs="Calibri" w:cstheme="majorHAnsi"/>
                <w:color w:val="2A2A2A"/>
                <w:shd w:fill="FFFFFF" w:val="clear"/>
              </w:rPr>
              <w:t> </w:t>
            </w:r>
            <w:r>
              <w:rPr>
                <w:rStyle w:val="Alauthornamemore"/>
                <w:rFonts w:cs="Calibri" w:cstheme="majorHAnsi"/>
                <w:color w:val="2A2A2A"/>
                <w:shd w:fill="FFFFFF" w:val="clear"/>
              </w:rPr>
              <w:t>Pulickel M Ajayan</w:t>
            </w:r>
            <w:r>
              <w:rPr>
                <w:rStyle w:val="Delimiter"/>
                <w:rFonts w:cs="Calibri" w:cstheme="majorHAnsi"/>
                <w:color w:val="2A2A2A"/>
                <w:shd w:fill="FFFFFF" w:val="clear"/>
              </w:rPr>
              <w:t>,</w:t>
            </w:r>
            <w:r>
              <w:rPr>
                <w:rFonts w:cs="Calibri" w:cstheme="majorHAnsi"/>
                <w:color w:val="2A2A2A"/>
                <w:shd w:fill="FFFFFF" w:val="clear"/>
              </w:rPr>
              <w:t> </w:t>
            </w:r>
            <w:r>
              <w:rPr>
                <w:rStyle w:val="Alauthornamemore"/>
                <w:rFonts w:cs="Calibri" w:cstheme="majorHAnsi"/>
                <w:color w:val="2A2A2A"/>
                <w:shd w:fill="FFFFFF" w:val="clear"/>
              </w:rPr>
              <w:t>Tharangattu N Narayanan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2020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2"/>
              <w:widowControl w:val="false"/>
              <w:shd w:val="clear" w:color="auto" w:fill="FFFFFF"/>
              <w:spacing w:lineRule="atLeast" w:line="420" w:before="0" w:after="0"/>
              <w:rPr>
                <w:rFonts w:ascii="Calibri" w:hAnsi="Calibri" w:cs="Calibri" w:asciiTheme="majorHAnsi" w:cstheme="majorHAnsi" w:hAnsiTheme="majorHAnsi"/>
                <w:b w:val="false"/>
                <w:b w:val="false"/>
                <w:bCs/>
                <w:spacing w:val="-7"/>
                <w:sz w:val="22"/>
                <w:szCs w:val="22"/>
              </w:rPr>
            </w:pPr>
            <w:r>
              <w:rPr>
                <w:rFonts w:cs="Calibri" w:cstheme="majorHAnsi"/>
                <w:b w:val="false"/>
                <w:bCs/>
                <w:color w:val="2A2A2A"/>
                <w:sz w:val="22"/>
                <w:szCs w:val="22"/>
                <w:shd w:fill="FFFFFF" w:val="clear"/>
              </w:rPr>
              <w:t>Dynamic mechanical analysis in materials science: The Novice’s Tale 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hyperlink r:id="rId10">
              <w:r>
                <w:rPr>
                  <w:rStyle w:val="InternetLink"/>
                  <w:rFonts w:cs="Calibri" w:cstheme="majorHAnsi"/>
                  <w:color w:val="000000"/>
                  <w:u w:val="none"/>
                  <w:shd w:fill="FFFFFF" w:val="clear"/>
                </w:rPr>
                <w:t>10.1093/oxfmat/itaa001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Style w:val="Alauthornamemore"/>
                <w:rFonts w:ascii="Calibri" w:hAnsi="Calibri" w:cs="Calibri" w:asciiTheme="majorHAnsi" w:cstheme="majorHAnsi" w:hAnsiTheme="majorHAnsi"/>
                <w:color w:val="2A2A2A"/>
                <w:shd w:fill="FFFFFF" w:val="clear"/>
              </w:rPr>
            </w:pPr>
            <w:r>
              <w:rPr>
                <w:rStyle w:val="Alauthornamemore"/>
                <w:rFonts w:cs="Calibri" w:cstheme="majorHAnsi"/>
                <w:color w:val="2A2A2A"/>
                <w:shd w:fill="FFFFFF" w:val="clear"/>
              </w:rPr>
              <w:t>PerkinElmer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2013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2"/>
              <w:widowControl w:val="false"/>
              <w:shd w:val="clear" w:color="auto" w:fill="FFFFFF"/>
              <w:spacing w:lineRule="atLeast" w:line="420" w:before="0" w:after="0"/>
              <w:rPr>
                <w:rFonts w:ascii="Calibri" w:hAnsi="Calibri" w:cs="Calibri" w:asciiTheme="majorHAnsi" w:cstheme="majorHAnsi" w:hAnsiTheme="majorHAnsi"/>
                <w:b w:val="false"/>
                <w:b w:val="false"/>
                <w:bCs/>
                <w:color w:val="2A2A2A"/>
                <w:sz w:val="22"/>
                <w:szCs w:val="22"/>
                <w:shd w:fill="FFFFFF" w:val="clear"/>
              </w:rPr>
            </w:pPr>
            <w:r>
              <w:rPr>
                <w:rFonts w:cs="Calibri" w:cstheme="majorHAnsi"/>
                <w:b w:val="false"/>
                <w:bCs/>
                <w:sz w:val="22"/>
                <w:szCs w:val="22"/>
              </w:rPr>
              <w:t>Dynamic Mechanical Analysis (DMA) A Beginner’s Guide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hyperlink r:id="rId11">
              <w:r>
                <w:rPr>
                  <w:rStyle w:val="InternetLink"/>
                  <w:rFonts w:cs="Calibri" w:cstheme="majorHAnsi"/>
                  <w:color w:val="auto"/>
                  <w:u w:val="none"/>
                </w:rPr>
                <w:t>https://www.mse.iastate.edu/files/2011/07/DMA-technique-pamphlet-PerkinElmer.pdf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Style w:val="Alauthornamemore"/>
                <w:rFonts w:ascii="Calibri" w:hAnsi="Calibri" w:cs="Calibri" w:asciiTheme="majorHAnsi" w:cstheme="majorHAnsi" w:hAnsiTheme="majorHAnsi"/>
                <w:color w:val="2A2A2A"/>
                <w:shd w:fill="FFFFFF" w:val="clear"/>
              </w:rPr>
            </w:pPr>
            <w:r>
              <w:fldChar w:fldCharType="begin"/>
            </w:r>
            <w:r>
              <w:rPr>
                <w:rStyle w:val="InternetLink"/>
                <w:u w:val="none"/>
                <w:shd w:fill="FFFFFF" w:val="clear"/>
                <w:rFonts w:cs="Calibri"/>
                <w:color w:val="000000"/>
              </w:rPr>
              <w:instrText xml:space="preserve"> HYPERLINK "https://link.springer.com/article/10.1007/S11249-016-0805-5" \l "auth-Esteban-Broitman-Aff1"</w:instrText>
            </w:r>
            <w:r>
              <w:rPr>
                <w:rStyle w:val="InternetLink"/>
                <w:u w:val="none"/>
                <w:shd w:fill="FFFFFF" w:val="clear"/>
                <w:rFonts w:cs="Calibri"/>
                <w:color w:val="000000"/>
              </w:rPr>
              <w:fldChar w:fldCharType="separate"/>
            </w:r>
            <w:r>
              <w:rPr>
                <w:rStyle w:val="InternetLink"/>
                <w:rFonts w:cs="Calibri" w:cstheme="majorHAnsi"/>
                <w:color w:val="000000"/>
                <w:u w:val="none"/>
                <w:shd w:fill="FFFFFF" w:val="clear"/>
              </w:rPr>
              <w:t>Esteban Broitman</w:t>
            </w:r>
            <w:r>
              <w:rPr>
                <w:rStyle w:val="InternetLink"/>
                <w:u w:val="none"/>
                <w:shd w:fill="FFFFFF" w:val="clear"/>
                <w:rFonts w:cs="Calibri"/>
                <w:color w:val="000000"/>
              </w:rPr>
              <w:fldChar w:fldCharType="end"/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2017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2"/>
              <w:widowControl w:val="false"/>
              <w:shd w:val="clear" w:color="auto" w:fill="FFFFFF"/>
              <w:spacing w:lineRule="atLeast" w:line="420" w:before="0" w:after="0"/>
              <w:rPr>
                <w:rFonts w:ascii="Calibri" w:hAnsi="Calibri" w:cs="Calibri" w:asciiTheme="majorHAnsi" w:cstheme="majorHAnsi" w:hAnsiTheme="majorHAnsi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cs="Calibri" w:cstheme="majorHAnsi"/>
                <w:b w:val="false"/>
                <w:bCs/>
                <w:color w:val="222222"/>
                <w:sz w:val="22"/>
                <w:szCs w:val="22"/>
                <w:shd w:fill="FFFFFF" w:val="clear"/>
              </w:rPr>
              <w:t>Indentation Hardness Measurements at Macro-, Micro-, and Nanoscale: A Critical Overview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222222"/>
                <w:shd w:fill="FFFFFF" w:val="clear"/>
              </w:rPr>
              <w:t>10.1007/s11249-016-0805-5</w:t>
            </w:r>
          </w:p>
        </w:tc>
      </w:tr>
    </w:tbl>
    <w:p>
      <w:pPr>
        <w:pStyle w:val="Normal"/>
        <w:spacing w:before="0" w:after="160"/>
        <w:rPr>
          <w:b/>
          <w:b/>
          <w:color w:val="000000"/>
        </w:rPr>
      </w:pPr>
      <w:r>
        <w:rPr>
          <w:b/>
        </w:rPr>
        <w:t xml:space="preserve"> </w:t>
      </w:r>
    </w:p>
    <w:sectPr>
      <w:footerReference w:type="default" r:id="rId12"/>
      <w:type w:val="nextPage"/>
      <w:pgSz w:orient="landscape" w:w="15840" w:h="12240"/>
      <w:pgMar w:left="1701" w:right="1701" w:gutter="0" w:header="0" w:top="1021" w:footer="501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a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bookmarkEnd w:id="2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3" w:name="_Hlk156297054"/>
          <w:bookmarkStart w:id="4" w:name="_Hlk156297054"/>
          <w:bookmarkEnd w:id="4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Emphasis">
    <w:name w:val="Emphasis"/>
    <w:basedOn w:val="DefaultParagraphFont"/>
    <w:uiPriority w:val="20"/>
    <w:qFormat/>
    <w:rsid w:val="00ec2ead"/>
    <w:rPr>
      <w:i/>
      <w:iCs/>
    </w:rPr>
  </w:style>
  <w:style w:type="character" w:styleId="InternetLink">
    <w:name w:val="Hyperlink"/>
    <w:basedOn w:val="DefaultParagraphFont"/>
    <w:uiPriority w:val="99"/>
    <w:unhideWhenUsed/>
    <w:rsid w:val="006078f4"/>
    <w:rPr>
      <w:color w:val="0000FF"/>
      <w:u w:val="single"/>
    </w:rPr>
  </w:style>
  <w:style w:type="character" w:styleId="Articleauthorlink" w:customStyle="1">
    <w:name w:val="article__author-link"/>
    <w:basedOn w:val="DefaultParagraphFont"/>
    <w:qFormat/>
    <w:rsid w:val="00395043"/>
    <w:rPr/>
  </w:style>
  <w:style w:type="character" w:styleId="Orcid" w:customStyle="1">
    <w:name w:val="orcid"/>
    <w:basedOn w:val="DefaultParagraphFont"/>
    <w:qFormat/>
    <w:rsid w:val="00395043"/>
    <w:rPr/>
  </w:style>
  <w:style w:type="character" w:styleId="Alauthornamemore" w:customStyle="1">
    <w:name w:val="al-author-name-more"/>
    <w:basedOn w:val="DefaultParagraphFont"/>
    <w:qFormat/>
    <w:rsid w:val="00395043"/>
    <w:rPr/>
  </w:style>
  <w:style w:type="character" w:styleId="Delimiter" w:customStyle="1">
    <w:name w:val="delimiter"/>
    <w:basedOn w:val="DefaultParagraphFont"/>
    <w:qFormat/>
    <w:rsid w:val="00395043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f79d3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520c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38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oi.org/10.1016/j.matpr.2020.05.337" TargetMode="External"/><Relationship Id="rId5" Type="http://schemas.openxmlformats.org/officeDocument/2006/relationships/hyperlink" Target="https://pubs.rsc.org/en/results?searchtext=Author%3AChristine Vanhoof" TargetMode="External"/><Relationship Id="rId6" Type="http://schemas.openxmlformats.org/officeDocument/2006/relationships/hyperlink" Target="https://pubs.rsc.org/en/results?searchtext=Author%3AJeffrey R. Bacon" TargetMode="External"/><Relationship Id="rId7" Type="http://schemas.openxmlformats.org/officeDocument/2006/relationships/hyperlink" Target="https://pubs.rsc.org/en/results?searchtext=Author%3AUrsula E. A. Fittschen" TargetMode="External"/><Relationship Id="rId8" Type="http://schemas.openxmlformats.org/officeDocument/2006/relationships/hyperlink" Target="https://pubs.rsc.org/en/results?searchtext=Author%3ALaszlo Vincze" TargetMode="External"/><Relationship Id="rId9" Type="http://schemas.openxmlformats.org/officeDocument/2006/relationships/hyperlink" Target="https://doi.org/10.1039/D1JA90033A" TargetMode="External"/><Relationship Id="rId10" Type="http://schemas.openxmlformats.org/officeDocument/2006/relationships/hyperlink" Target="https://doi.org/10.1093/oxfmat/itaa001" TargetMode="External"/><Relationship Id="rId11" Type="http://schemas.openxmlformats.org/officeDocument/2006/relationships/hyperlink" Target="https://www.mse.iastate.edu/files/2011/07/DMA-technique-pamphlet-PerkinElmer.pdf" TargetMode="Externa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<Relationship Id="rId1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DD654681-11D8-4DAF-94EB-5A0D205C4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LibreOffice/7.3.7.2$Linux_X86_64 LibreOffice_project/30$Build-2</Application>
  <AppVersion>15.0000</AppVersion>
  <Pages>25</Pages>
  <Words>2706</Words>
  <Characters>17086</Characters>
  <CharactersWithSpaces>19490</CharactersWithSpaces>
  <Paragraphs>502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2024-06-11T21:58:00Z</dcterms:created>
  <dc:creator>Fabiola Aquino Caballero</dc:creator>
  <dc:description/>
  <dc:language>en-US</dc:language>
  <cp:lastModifiedBy/>
  <cp:lastPrinted>2024-01-25T18:37:00Z</cp:lastPrinted>
  <dcterms:modified xsi:type="dcterms:W3CDTF">2024-07-04T15:57:54Z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9cd2aeeda56a06411cb1833b4b7b184af121e7a372f8d2a1f3bed403e40fc7c7</vt:lpwstr>
  </property>
</Properties>
</file>