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76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Layout w:type="fixed"/>
        <w:tblLook w:val="0400"/>
      </w:tblPr>
      <w:tblGrid>
        <w:gridCol w:w="3017"/>
        <w:gridCol w:w="7325"/>
        <w:gridCol w:w="2086"/>
        <w:tblGridChange w:id="0">
          <w:tblGrid>
            <w:gridCol w:w="3017"/>
            <w:gridCol w:w="7325"/>
            <w:gridCol w:w="20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160" w:before="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02765" cy="35052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 INGENIERÍA EN NANOTECNOLOGÍA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160" w:before="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before="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7130" cy="57912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color w:val="3e70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MATEMÁTICAS AVANZADAS        CLAVE:_________________________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79.0" w:type="dxa"/>
        <w:jc w:val="center"/>
        <w:tblLayout w:type="fixed"/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  <w:tblGridChange w:id="0">
          <w:tblGrid>
            <w:gridCol w:w="1560"/>
            <w:gridCol w:w="1365"/>
            <w:gridCol w:w="284"/>
            <w:gridCol w:w="1246"/>
            <w:gridCol w:w="2340"/>
            <w:gridCol w:w="2819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El estudiante analizará y resolverá problemas matemáticos que involucren el uso de los Números Complejos, el Análisis de Fourier y las Ecuaciones Diferenciales Parciales para comprender los principios de algunos instrumentos de caracterización de nanomateriales, análisis de señales y modelos matem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áticos</w:t>
            </w:r>
            <w:r w:rsidDel="00000000" w:rsidR="00000000" w:rsidRPr="00000000">
              <w:rPr>
                <w:b w:val="0"/>
                <w:rtl w:val="0"/>
              </w:rPr>
              <w:t xml:space="preserve">, así como apoyar al estudiante a continuar sus estudios de posgrado con un mejor nivel de matemáticas.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Específica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4.6875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Escolarizada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160" w:before="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2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12426.0" w:type="dxa"/>
        <w:jc w:val="center"/>
        <w:tblLayout w:type="fixed"/>
        <w:tblLook w:val="0400"/>
      </w:tblPr>
      <w:tblGrid>
        <w:gridCol w:w="4560"/>
        <w:gridCol w:w="2633"/>
        <w:gridCol w:w="2512"/>
        <w:gridCol w:w="2721"/>
        <w:tblGridChange w:id="0">
          <w:tblGrid>
            <w:gridCol w:w="4560"/>
            <w:gridCol w:w="2633"/>
            <w:gridCol w:w="2512"/>
            <w:gridCol w:w="272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úmeros Complejos.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color w:val="000000"/>
                <w:rtl w:val="0"/>
              </w:rPr>
              <w:t xml:space="preserve"> An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álisis de Fourier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Ecuaciones Diferenciales Parciales.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55.0" w:type="dxa"/>
        <w:jc w:val="center"/>
        <w:tblLayout w:type="fixed"/>
        <w:tblLook w:val="0400"/>
      </w:tblPr>
      <w:tblGrid>
        <w:gridCol w:w="3250"/>
        <w:gridCol w:w="3257"/>
        <w:gridCol w:w="5848"/>
        <w:tblGridChange w:id="0">
          <w:tblGrid>
            <w:gridCol w:w="3250"/>
            <w:gridCol w:w="3257"/>
            <w:gridCol w:w="584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Integrar a gran escala procesos de obtención de nanomateriales considerando los parámetros de un proyecto establecido, con base en los requerimientos del cliente para su comercialización y contribuir a la transferencia de tecnología.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Evaluar</w:t>
              <w:tab/>
              <w:t xml:space="preserve">el desempeño de la planta piloto a través de pruebas de funcionamiento y especificaciones de proceso y producto, para validar el cumplimiento de los requerimientos establecidos en el anteproyecto.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"Integra el dictámen de evaluación del desempeño de la planta piloto, que incluya:</w:t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Los parámetros de operación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Rendimiento</w:t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Desviaciones encontradas</w:t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Resultados de la evaluación de las propiedades y características del producto nanoestructurado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Comparación de las propiedades del producto obtenidas contra las especificaciones.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 Dictámen del desempeño del proceso"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Optimizar el proceso de producción del nanomaterial mediante el análisis y ajuste de variables para eficientar el desempeño de la planta piloto, haciendo uso de modelos físico matemáticos.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"Integra un estudio de optimización del proceso que incluya:</w:t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Análisis de resultados de la evaluación del desempeño del proceso y de simulación.</w:t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Posibles causas.</w:t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Ajuste de las condiciones de operación de los equipos y ambientales del proceso.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 Observaciones.</w:t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60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 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úmeros Complejos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El estudiante realizará operaciones básicas con números complejos, transformaciones entre notaciones polares, rectangulares y exponenciales, series complejas, gráficas complejas y sus características básicas (ceros y polos) e identificará sus aplicaciones para relacionarlas con modelos y aplicaciones a la nanotecnología.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Definiciones y notación de números complejos.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las formas de transformar y 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úmeros complejos </w:t>
            </w:r>
            <w:r w:rsidDel="00000000" w:rsidR="00000000" w:rsidRPr="00000000">
              <w:rPr>
                <w:rtl w:val="0"/>
              </w:rPr>
              <w:t xml:space="preserve">de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su f</w:t>
            </w:r>
            <w:r w:rsidDel="00000000" w:rsidR="00000000" w:rsidRPr="00000000">
              <w:rPr>
                <w:rtl w:val="0"/>
              </w:rPr>
              <w:t xml:space="preserve">orma rectangular, polar, exponencial y en el plano complejo.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Transformar y graficar números complejos en su forma rectangular, polar, exponencial y en el plano complejo.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Operaciones algebraicas con números complejos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las propiedades y teoremas de las operaciones b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ásicas de conju</w:t>
            </w: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o, suma, resta, multiplicación y división, potencias y raíces de números complejos.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Realizar operaciones básicas de conjugado, suma, resta, multiplicación, división, potencias y raíces de números complejos.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 actualizado en las aplicaciones de dichos temas a la nanotecnolog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An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álisis de </w:t>
            </w:r>
            <w:r w:rsidDel="00000000" w:rsidR="00000000" w:rsidRPr="00000000">
              <w:rPr>
                <w:rtl w:val="0"/>
              </w:rPr>
              <w:t xml:space="preserve">Funciones y Series complejas.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Identificar las teoría y características más importantes de las funciones complejas (ceros y polos), as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í como reconocer las aplicaciones de los números complejos en la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Graficar funciones complejas y calcular sus ceros y polos, así como reconocer las aplicaciones de los números complejos en la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gráficos, aprendizaje colaborativo y 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gráficos, aprendizaje colaborativo y 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hd w:fill="auto" w:val="clear"/>
                <w:rtl w:val="0"/>
              </w:rPr>
              <w:t xml:space="preserve">El estudiante identifica y realiza operaciones básicas con números complejos, así como sus raíces y exponentes, en distintas notaciones y  gráfica n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shd w:fill="auto" w:val="clear"/>
                <w:rtl w:val="0"/>
              </w:rPr>
              <w:t xml:space="preserve">úmeroc complejos </w:t>
            </w:r>
            <w:r w:rsidDel="00000000" w:rsidR="00000000" w:rsidRPr="00000000">
              <w:rPr>
                <w:b w:val="0"/>
                <w:shd w:fill="auto" w:val="clear"/>
                <w:rtl w:val="0"/>
              </w:rPr>
              <w:t xml:space="preserve">en el plano complejo.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Los estudiantes participarán en una serie de problemarios y pruebas y exámenes escritos para evaluar su comprensión y dominio de las operaciones básicas y gráficas con números complejos.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Instrumentos de evaluación a utilizar para los saberes hacer: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Estudios de casos.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Ejercicios prácticos.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problemarios.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Rúbrica.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Proyectos grupales y/o individuales.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Evaluación de desempeño.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Instrumentos de evaluación a utilizar para el saber ser y convivir: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Cuestionarios.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Guía de observación.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- Ejercicios en equipo.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El estudiante identifica, grafica y analiza funciones complejas (ceros y polos) e identifica su relación con la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estudiantes participarán en una serie de problemarios y pruebas y exámenes escritos para evaluar su comprensión y dominio del análisis de funciones complejas (ceros y polos) y su relación con la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Instrumentos de evaluación a utilizar para los saberes hacer: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Estudios de casos.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Ejercicios prácticos.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problemarios.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Rúbrica.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Proyectos grupales y/o individuales.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Evaluación de desempeño.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Instrumentos de evaluación a utilizar para el saber ser y convivir: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Cuestionarios.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Guía de observación.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160" w:before="0" w:lineRule="auto"/>
              <w:jc w:val="both"/>
              <w:rPr>
                <w:shd w:fill="auto" w:val="clear"/>
              </w:rPr>
            </w:pPr>
            <w:r w:rsidDel="00000000" w:rsidR="00000000" w:rsidRPr="00000000">
              <w:rPr>
                <w:b w:val="0"/>
                <w:sz w:val="22"/>
                <w:szCs w:val="22"/>
                <w:shd w:fill="auto" w:val="clear"/>
                <w:rtl w:val="0"/>
              </w:rPr>
              <w:t xml:space="preserve">- Ejercicios en equipo.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 Analisis de Fourier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D8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El estudiante comprenderá las propiedades propiedades básicas y los coeficientes de las series de Fourier trigonométricas, así como de la función impulso y como calcularlas, e identificará las aplicaciones a la ingeniería en nanotecnología para relacionarlas con modelos y aplicaciones a la instrumentación (caracterización FTIR) y análisis de señales.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E5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Funciones Periódicas, Series de Fourier y Propiedades del seno y coseno (funciones ortogonales).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las propiedades periódicas</w:t>
            </w:r>
            <w:r w:rsidDel="00000000" w:rsidR="00000000" w:rsidRPr="00000000">
              <w:rPr>
                <w:rtl w:val="0"/>
              </w:rPr>
              <w:t xml:space="preserve"> de las funciones seno y coseno, así como las series de y las Fourier de las mismas.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Calcular el periodo y la frecuencia de las funciones trigonométricas periódicas de las funciones seno y coseno, así como las series de y las Fourier.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Evaluación de los coeficientes de Fourier,  Aproximaciones mediante series infinitas de Fourier y  Condición es de Dirichlet.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Identificar y conocer la teoría básica de los coeficientes de Fourier y series de Fourier y la  Condición es de Dirichlet.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Calcular los coeficientes de Fourier y series de Fourier usando la  Condición es de Dirichlet.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Diferenciación e integración de las series de Fourier, La Función impulso , derivada de la Funci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ón Impulso.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  <w:t xml:space="preserve">Reconocer las propiedades y técnicas de  la integración de las series de Fourier, así como la teoría de la Función impulso.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Realizar la integración de las series de Fourier, identificar la Función impulso y calcular su derivada.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* Familiarizarse con las principales propiedades de los espacios de funciones usados en lo métodos de Fourier.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* Utilizar los teoremas fundamentales del Análisis de Fourier (series y transformadas)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129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estudiantes participarán en una serie de pruebas y exámenes escritos para evaluar su comprensión de los conceptos y teoremas del análisis de Fourier.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Evaluación, resumen, organizadores gráficos,  guía de obervación y estudio de casos.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* Familiarizarse con las principales aplicaciones del Análisis de Fourier en  Física, electr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ónica, análisis de señales y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estudiantes participarán en una serie de pruebas y exámenes escritos para evaluar su comprensión de las aplicaciones del Análisis de Furier a la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Evaluación, resumen, organizadores gráficos,  guía de obervación y estudio de casos.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9.0" w:type="dxa"/>
        <w:jc w:val="left"/>
        <w:tblInd w:w="-65.00000000000001" w:type="dxa"/>
        <w:tblLayout w:type="fixed"/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4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  Ecuaciones Diferenciales Parciales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16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Identificar y resolver ecuaciones diferenciales ordinarias mediante métodos elementales, de primer y segundo orden, para interpretar diferentes fenómenos físicos, químicos y termodinámicos expresados en términos de ecuaciones diferenciales parciales relacionados a la producción y optimización de nanomateriales.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160" w:before="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160" w:before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16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45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513.0" w:type="dxa"/>
        <w:jc w:val="center"/>
        <w:tblLayout w:type="fixed"/>
        <w:tblLook w:val="0400"/>
      </w:tblPr>
      <w:tblGrid>
        <w:gridCol w:w="2609"/>
        <w:gridCol w:w="3829"/>
        <w:gridCol w:w="3376"/>
        <w:gridCol w:w="2699"/>
        <w:tblGridChange w:id="0">
          <w:tblGrid>
            <w:gridCol w:w="2609"/>
            <w:gridCol w:w="3829"/>
            <w:gridCol w:w="3376"/>
            <w:gridCol w:w="269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160" w:before="0"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Problemas de valor inicial y clasificación de Ecuaciones Diferenciales Parciales.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Identificar el tipo de EDP y cu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shd w:fill="auto" w:val="clear"/>
                <w:rtl w:val="0"/>
              </w:rPr>
              <w:t xml:space="preserve">ndo contienen valores iniciales o de frontera.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Etiquetar las EDP de acuerdo a su orden, grado,linealidad o no linealidad y sus valores iniciales o de frontera.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Desarrollar una actitud colaborativa, congruente con los conocimientos y habilidades, para contribuir al éxito de equipos de trabajo en diferentes contextos.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Asumir la responsabilidad y consecuencias de las acciones y decisiones tomadas en diversas situaciones.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la importancia del uso eficiente y responsable de los recursos disponibles en actividades cotidianas y laborales.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Promover el bienestar y éxito personal y colectivo, demostrando respeto por las normas, el entorno y la sociedad.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Ecuaciones Diferenciales Parciales Elementales de Primer Orden.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Conocer la metodolog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rtl w:val="0"/>
              </w:rPr>
              <w:t xml:space="preserve">ía aplicable para la resolución de EDP de acuerdo al tipo de EDP </w:t>
            </w:r>
            <w:r w:rsidDel="00000000" w:rsidR="00000000" w:rsidRPr="00000000">
              <w:rPr>
                <w:shd w:fill="auto" w:val="clear"/>
                <w:rtl w:val="0"/>
              </w:rPr>
              <w:t xml:space="preserve">de Primer Orden.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Resolver problemas de Ecuaciones Diferenciales Parciales Elementales de Primer Orden.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Ecuaciones Diferenciales Parciales Elementales de Segundo Orden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Aplicaciones de EDP: Onda, Calor, Laplace.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Conocer la metodolog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rtl w:val="0"/>
              </w:rPr>
              <w:t xml:space="preserve">ía aplicable para la resolución de EDP de acuerdo al tipo de EDP </w:t>
            </w:r>
            <w:r w:rsidDel="00000000" w:rsidR="00000000" w:rsidRPr="00000000">
              <w:rPr>
                <w:shd w:fill="auto" w:val="clear"/>
                <w:rtl w:val="0"/>
              </w:rPr>
              <w:t xml:space="preserve">de Segundo Orden.</w:t>
            </w:r>
          </w:p>
          <w:p w:rsidR="00000000" w:rsidDel="00000000" w:rsidP="00000000" w:rsidRDefault="00000000" w:rsidRPr="00000000" w14:paraId="0000015B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Identificar el tipo de EDP de primer o segundo orden y su aplicaci</w:t>
            </w:r>
            <w:r w:rsidDel="00000000" w:rsidR="00000000" w:rsidRPr="00000000">
              <w:rPr>
                <w:color w:val="000000"/>
                <w:sz w:val="22"/>
                <w:szCs w:val="22"/>
                <w:shd w:fill="auto" w:val="clear"/>
                <w:rtl w:val="0"/>
              </w:rPr>
              <w:t xml:space="preserve">ón a ciencias o ingeniería.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Resolver problemas de Ecuaciones Diferenciales Parciales Elementales de Primer Orden.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160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Resolver problemas de aplicaci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ón relacionados la física, y a la termodinámica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513.000000000002" w:type="dxa"/>
        <w:jc w:val="center"/>
        <w:tblLayout w:type="fixed"/>
        <w:tblLook w:val="0400"/>
      </w:tblPr>
      <w:tblGrid>
        <w:gridCol w:w="5282"/>
        <w:gridCol w:w="4292"/>
        <w:gridCol w:w="2100"/>
        <w:gridCol w:w="839"/>
        <w:tblGridChange w:id="0">
          <w:tblGrid>
            <w:gridCol w:w="5282"/>
            <w:gridCol w:w="4292"/>
            <w:gridCol w:w="2100"/>
            <w:gridCol w:w="83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16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Aula invertida con organizadores gráficos.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Aprendizaje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Análisis de casos.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impresos: libros de texto impresos, artículos de revistas científicas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audiovisuales: Presentaciones del profesor, de cursos, talleres y youtube.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Instrumentales: Pizarrón con marcadores, computadora y proyector.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software y aplicaciones de graficado y ressución de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highlight w:val="white"/>
                <w:u w:val="none"/>
                <w:rtl w:val="0"/>
              </w:rPr>
              <w:t xml:space="preserve">Materiales digitales: Cursos en línea, graficadores y calculador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160" w:before="0" w:lineRule="auto"/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513.999999999998" w:type="dxa"/>
        <w:jc w:val="center"/>
        <w:tblLayout w:type="fixed"/>
        <w:tblLook w:val="0400"/>
      </w:tblPr>
      <w:tblGrid>
        <w:gridCol w:w="5039"/>
        <w:gridCol w:w="4082"/>
        <w:gridCol w:w="3393"/>
        <w:tblGridChange w:id="0">
          <w:tblGrid>
            <w:gridCol w:w="5039"/>
            <w:gridCol w:w="4082"/>
            <w:gridCol w:w="339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Identificar los tipos de EDP y sus valores iniciales o de frontera.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estudiantes participarán en una serie de pruebas y exámenes escritos para evaluar su comprensión acerca de la clasificación del tipo de EDP y sus valores iniciales.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Evaluación, resumen, organizadores gráficos,  guía de obervación y estudio de casos.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Resolver EDP de primer o segundo orden, elementales, para la posterior resoluci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ón de EDP que son de usos común en física, termodinámica o 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Los estudiantes participarán en una serie de pruebas y exámenes escritos para evaluar su comprensión de la solución de EDP elementales de primer o segundo orden y sus usos en ciancia e ingeniería relacionados a la ananotecnología.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160" w:before="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Evaluación, resumen, organizadores gráficos,  guía de obervación y estudio de casos.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tbl>
      <w:tblPr>
        <w:tblStyle w:val="Table17"/>
        <w:tblW w:w="12525.0" w:type="dxa"/>
        <w:jc w:val="left"/>
        <w:tblInd w:w="-26.000000000000014" w:type="dxa"/>
        <w:tblLayout w:type="fixed"/>
        <w:tblLook w:val="0400"/>
      </w:tblPr>
      <w:tblGrid>
        <w:gridCol w:w="4169"/>
        <w:gridCol w:w="4141"/>
        <w:gridCol w:w="4215"/>
        <w:tblGridChange w:id="0">
          <w:tblGrid>
            <w:gridCol w:w="4169"/>
            <w:gridCol w:w="4141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</w:tbl>
    <w:p w:rsidR="00000000" w:rsidDel="00000000" w:rsidP="00000000" w:rsidRDefault="00000000" w:rsidRPr="00000000" w14:paraId="00000194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40.0" w:type="dxa"/>
        <w:jc w:val="left"/>
        <w:tblInd w:w="-35.00000000000001" w:type="dxa"/>
        <w:tblLayout w:type="fixed"/>
        <w:tblLook w:val="0400"/>
      </w:tblPr>
      <w:tblGrid>
        <w:gridCol w:w="4133"/>
        <w:gridCol w:w="4148"/>
        <w:gridCol w:w="4259"/>
        <w:tblGridChange w:id="0">
          <w:tblGrid>
            <w:gridCol w:w="4133"/>
            <w:gridCol w:w="4148"/>
            <w:gridCol w:w="425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after="160" w:before="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Ingeniero Físico, Licenciado en Matemáticas, Licenciado en Física, Ingeniero en nanotecnología.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widowControl w:val="0"/>
              <w:spacing w:after="160" w:before="0" w:lineRule="auto"/>
              <w:rPr>
                <w:b w:val="1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Experiencia en Educación Basada en Competencias Profesionales, dominio de estrategias didácticas efectivas para la enseñanza-aprendizaje, capacidad para adaptar el contenido a diferentes niveles de comprensión, habilidades en la elaboración de materiales didácticos, evaluación y retroalimentación formativa.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160" w:before="0" w:lineRule="auto"/>
              <w:rPr>
                <w:b w:val="1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Experiencia en la enseñanza en matemáticas. Cursos adicionales o conocimientos en nanotecnología.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2541.000000000002" w:type="dxa"/>
        <w:jc w:val="center"/>
        <w:tblLayout w:type="fixed"/>
        <w:tblLook w:val="0400"/>
      </w:tblPr>
      <w:tblGrid>
        <w:gridCol w:w="2355"/>
        <w:gridCol w:w="2355"/>
        <w:gridCol w:w="2357"/>
        <w:gridCol w:w="2355"/>
        <w:gridCol w:w="1484"/>
        <w:gridCol w:w="1635"/>
        <w:tblGridChange w:id="0">
          <w:tblGrid>
            <w:gridCol w:w="2355"/>
            <w:gridCol w:w="2355"/>
            <w:gridCol w:w="2357"/>
            <w:gridCol w:w="2355"/>
            <w:gridCol w:w="1484"/>
            <w:gridCol w:w="16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Style w:val="Heading3"/>
              <w:widowControl w:val="0"/>
              <w:spacing w:after="80" w:before="28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Marsden, Jerrold E., Hoffman, Michael 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Style w:val="Heading3"/>
              <w:widowControl w:val="0"/>
              <w:spacing w:after="80" w:before="28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Análisis basico de variable compleja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Trillas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9789682452031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Angulo, Juan Carlos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Variable compleja. resolucion de problemas y aplicaciones.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Paraninfo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9788428304733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José Ramírez Labrador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Variable Compleja con Mathematica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México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UCA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9788498283846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Murray Spiegel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Variable Compleja, Serie Schaum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USA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McGraw Hill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9786071505514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Hsu Hwei P.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1998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Análisis de Fourier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Prentice Hall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9789684443563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Erwin Kreyszig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Advanced Engineering Mathematics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USA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ohn Wiley &amp; Sons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9781119455929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José Humberto Serrano Devia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Análisis de Fourier. Teoría y aplicaciones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Colombia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Universidad Distrital Francisco José de Caldas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9789587873412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Omar Aguilar Loreto, José Antonio Muñoz Gómez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Ecuaciones diferenciales parciales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México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Editorial Universidad de Guadalajara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9786077425786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Hans F. Weinberger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Ecuaciones diferenciales en derivadas parciales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España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Reverté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9788429191400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José Carlos Bellido Guerrero, Alberto Donoso Bellón, Sebastián Lajara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Ecuaciones derivadas parciales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México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Paraninfo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9788428330169</w:t>
            </w:r>
          </w:p>
        </w:tc>
      </w:tr>
    </w:tbl>
    <w:p w:rsidR="00000000" w:rsidDel="00000000" w:rsidP="00000000" w:rsidRDefault="00000000" w:rsidRPr="00000000" w14:paraId="000001E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0"/>
        <w:tblW w:w="12541.0" w:type="dxa"/>
        <w:jc w:val="center"/>
        <w:tblLayout w:type="fixed"/>
        <w:tblLook w:val="0400"/>
      </w:tblPr>
      <w:tblGrid>
        <w:gridCol w:w="1980"/>
        <w:gridCol w:w="2970"/>
        <w:gridCol w:w="4576"/>
        <w:gridCol w:w="3015"/>
        <w:tblGridChange w:id="0">
          <w:tblGrid>
            <w:gridCol w:w="1980"/>
            <w:gridCol w:w="2970"/>
            <w:gridCol w:w="4576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160"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160" w:before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after="16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 Alex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16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01 de Junio de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1F1">
            <w:pPr>
              <w:pStyle w:val="Heading3"/>
              <w:widowControl w:val="0"/>
              <w:spacing w:after="160" w:before="0" w:lineRule="auto"/>
              <w:jc w:val="center"/>
              <w:rPr/>
            </w:pPr>
            <w:hyperlink r:id="rId8">
              <w:r w:rsidDel="00000000" w:rsidR="00000000" w:rsidRPr="00000000">
                <w:rPr>
                  <w:b w:val="0"/>
                  <w:color w:val="000000"/>
                  <w:sz w:val="22"/>
                  <w:szCs w:val="22"/>
                  <w:u w:val="none"/>
                  <w:rtl w:val="0"/>
                </w:rPr>
                <w:t xml:space="preserve">Números complejos (Curso Completo)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160" w:before="0" w:lineRule="auto"/>
              <w:jc w:val="both"/>
              <w:rPr/>
            </w:pPr>
            <w:r w:rsidDel="00000000" w:rsidR="00000000" w:rsidRPr="00000000">
              <w:rPr>
                <w:b w:val="0"/>
                <w:color w:val="000080"/>
                <w:sz w:val="22"/>
                <w:szCs w:val="22"/>
                <w:u w:val="single"/>
                <w:rtl w:val="0"/>
              </w:rPr>
              <w:t xml:space="preserve">https://www.youtube.com/watch?v=Qv_bvmJJfV0&amp;list=PLeySRPnY35dHfzYRb8StWkxnVTkrocv6X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MateFacil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01 de Junio de 2024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16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 de Análisis de Fourier  </w:t>
            </w:r>
            <w:hyperlink r:id="rId9">
              <w:r w:rsidDel="00000000" w:rsidR="00000000" w:rsidRPr="00000000">
                <w:rPr>
                  <w:b w:val="0"/>
                  <w:color w:val="000000"/>
                  <w:sz w:val="22"/>
                  <w:szCs w:val="22"/>
                  <w:u w:val="none"/>
                  <w:rtl w:val="0"/>
                </w:rPr>
                <w:t xml:space="preserve">(Curso Completo)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b w:val="0"/>
                  <w:color w:val="000080"/>
                  <w:sz w:val="22"/>
                  <w:szCs w:val="22"/>
                  <w:u w:val="single"/>
                  <w:rtl w:val="0"/>
                </w:rPr>
                <w:t xml:space="preserve">https://m.youtube.com/playlist?list=PL9SnRnlzoyX1qE5eiEKmdbHBexOmg-JFJ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MateFacil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160" w:before="0" w:lineRule="auto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01 de Junio de 2024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16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 de Ecuaciones Diferenciales Parciales </w:t>
            </w:r>
            <w:hyperlink r:id="rId11">
              <w:r w:rsidDel="00000000" w:rsidR="00000000" w:rsidRPr="00000000">
                <w:rPr>
                  <w:b w:val="0"/>
                  <w:color w:val="000000"/>
                  <w:sz w:val="22"/>
                  <w:szCs w:val="22"/>
                  <w:u w:val="none"/>
                  <w:rtl w:val="0"/>
                </w:rPr>
                <w:t xml:space="preserve">(Curso Completo)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160" w:before="0" w:lineRule="auto"/>
              <w:jc w:val="both"/>
              <w:rPr>
                <w:b w:val="0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b w:val="0"/>
                  <w:color w:val="000080"/>
                  <w:sz w:val="22"/>
                  <w:szCs w:val="22"/>
                  <w:u w:val="single"/>
                  <w:rtl w:val="0"/>
                </w:rPr>
                <w:t xml:space="preserve">https://youtu.be/6YkDb2M0BdU?si=tGYUANIaLOWWCkJF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FC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01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1"/>
      <w:tblW w:w="12328.0" w:type="dxa"/>
      <w:jc w:val="center"/>
      <w:tblLayout w:type="fixed"/>
      <w:tblLook w:val="0000"/>
    </w:tblPr>
    <w:tblGrid>
      <w:gridCol w:w="1271"/>
      <w:gridCol w:w="3825"/>
      <w:gridCol w:w="2129"/>
      <w:gridCol w:w="3257"/>
      <w:gridCol w:w="1846"/>
      <w:tblGridChange w:id="0">
        <w:tblGrid>
          <w:gridCol w:w="1271"/>
          <w:gridCol w:w="3825"/>
          <w:gridCol w:w="2129"/>
          <w:gridCol w:w="3257"/>
          <w:gridCol w:w="1846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2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tyjcwt" w:id="5"/>
          <w:bookmarkEnd w:id="5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3">
          <w:pPr>
            <w:widowControl w:val="0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GRUPO DE TRABAJO DE LA LICENCIATURA EN INGENIERÍA EN NANOTECNOLOGÍA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4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5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6">
          <w:pPr>
            <w:widowControl w:val="0"/>
            <w:spacing w:after="160" w:before="0" w:lineRule="auto"/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7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8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DGUTyP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9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A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C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0D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2"/>
      <w:tblW w:w="12328.0" w:type="dxa"/>
      <w:jc w:val="center"/>
      <w:tblLayout w:type="fixed"/>
      <w:tblLook w:val="0000"/>
    </w:tblPr>
    <w:tblGrid>
      <w:gridCol w:w="1271"/>
      <w:gridCol w:w="3825"/>
      <w:gridCol w:w="2129"/>
      <w:gridCol w:w="3257"/>
      <w:gridCol w:w="1846"/>
      <w:tblGridChange w:id="0">
        <w:tblGrid>
          <w:gridCol w:w="1271"/>
          <w:gridCol w:w="3825"/>
          <w:gridCol w:w="2129"/>
          <w:gridCol w:w="3257"/>
          <w:gridCol w:w="1846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E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0F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0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1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2">
          <w:pPr>
            <w:widowControl w:val="0"/>
            <w:spacing w:after="160" w:before="0" w:lineRule="auto"/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3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4">
          <w:pPr>
            <w:widowControl w:val="0"/>
            <w:spacing w:after="160" w:before="0" w:lineRule="auto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5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6">
          <w:pPr>
            <w:widowControl w:val="0"/>
            <w:spacing w:after="160" w:before="0" w:lineRule="auto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vAlign w:val="center"/>
        </w:tcPr>
        <w:p w:rsidR="00000000" w:rsidDel="00000000" w:rsidP="00000000" w:rsidRDefault="00000000" w:rsidRPr="00000000" w14:paraId="000002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8">
    <w:pPr>
      <w:widowControl w:val="0"/>
      <w:spacing w:after="0" w:before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Qv_bvmJJfV0&amp;list=PLeySRPnY35dHfzYRb8StWkxnVTkrocv6X" TargetMode="External"/><Relationship Id="rId10" Type="http://schemas.openxmlformats.org/officeDocument/2006/relationships/hyperlink" Target="https://m.youtube.com/playlist?list=PL9SnRnlzoyX1qE5eiEKmdbHBexOmg-JFJ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youtu.be/6YkDb2M0BdU?si=tGYUANIaLOWWCkJ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Qv_bvmJJfV0&amp;list=PLeySRPnY35dHfzYRb8StWkxnVTkrocv6X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Qv_bvmJJfV0&amp;list=PLeySRPnY35dHfzYRb8StWkxnVTkrocv6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