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pBdr/>
        <w:spacing w:lineRule="auto" w:line="276" w:before="0" w:after="0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  <w:bookmarkStart w:id="0" w:name="_heading=h.30j0zll"/>
      <w:bookmarkStart w:id="1" w:name="_heading=h.30j0zll"/>
      <w:bookmarkEnd w:id="1"/>
    </w:p>
    <w:tbl>
      <w:tblPr>
        <w:tblStyle w:val="afff3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INGENIERÍA EN NANOTECNOLOGÍA</w:t>
            </w:r>
          </w:p>
          <w:p>
            <w:pPr>
              <w:pStyle w:val="Normal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pBdr/>
        <w:spacing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"/>
        <w:pBdr/>
        <w:spacing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____</w:t>
      </w:r>
      <w:r>
        <w:rPr>
          <w:b/>
          <w:color w:val="3E7065"/>
          <w:sz w:val="24"/>
          <w:szCs w:val="24"/>
          <w:u w:val="single"/>
        </w:rPr>
        <w:t>MAATERIALES CERÁMICOS_________</w:t>
      </w:r>
      <w:r>
        <w:rPr>
          <w:b/>
          <w:color w:val="3E7065"/>
          <w:sz w:val="24"/>
          <w:szCs w:val="24"/>
        </w:rPr>
        <w:t xml:space="preserve">     CLAVE:_________________________</w:t>
      </w:r>
    </w:p>
    <w:p>
      <w:pPr>
        <w:pStyle w:val="Normal"/>
        <w:pBdr/>
        <w:spacing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afff4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El estudiante adquirirá conocimientos sobre los materiales cerámicos y sus propiedades, para su implementación en la solución de problemas de ingeniería.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Diseñar procesos de producción de materiales nanoestructurados en laboratorio y a nivel industrial,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con base en la planeación, técnicas de síntesis e incorporación y cumpliendo con la normatividad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aplicable, para contribuir a la innovación tecnológica, a fin de resolver problemas del sector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productivo, comercial, académico, de investigación y social, con principios éticos , inclusivos, de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8,9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  <w:bookmarkStart w:id="2" w:name="_heading=h.gjdgxs"/>
      <w:bookmarkStart w:id="3" w:name="_heading=h.gjdgxs"/>
      <w:bookmarkEnd w:id="3"/>
    </w:p>
    <w:tbl>
      <w:tblPr>
        <w:tblStyle w:val="afff5"/>
        <w:tblW w:w="12428" w:type="dxa"/>
        <w:jc w:val="left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46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/>
            </w:pPr>
            <w:r>
              <w:rPr/>
              <w:t>Introducción a los materiales cerámicos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8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/>
            </w:pPr>
            <w:r>
              <w:rPr/>
              <w:t>Propiedades físicas, térmicas y mecánicas de los materiales cerámicos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before="0" w:after="160"/>
              <w:rPr/>
            </w:pPr>
            <w:r>
              <w:rPr/>
              <w:t>Procesos de elaboración y aplicaciones de materiales cerámicos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15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25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/>
            </w:pPr>
            <w:r>
              <w:rPr/>
              <w:t>40</w:t>
            </w:r>
          </w:p>
        </w:tc>
      </w:tr>
      <w:tr>
        <w:trPr>
          <w:trHeight w:val="585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54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"/>
        <w:pBdr/>
        <w:spacing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tbl>
      <w:tblPr>
        <w:tblStyle w:val="afff6"/>
        <w:tblW w:w="12360" w:type="dxa"/>
        <w:jc w:val="left"/>
        <w:tblInd w:w="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650" w:hRule="atLeast"/>
        </w:trPr>
        <w:tc>
          <w:tcPr>
            <w:tcW w:w="3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Justificar el diseño de un nanomaterial con base a una necesidad o problemática, desarrollarlo y caracterizarlo con base a los lineamientos correspondientes para asegurar su funcionalidad.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Definir los fenómenos físicos y químicos que correlacionan los cambios estructurales y propiedades ópticas, mecánicas, físicas y químicas desde el punto de vista nanométrico empleando herramientas matemáticas y métodos experimentales para identificar sus aplicaciones.</w:t>
            </w:r>
          </w:p>
        </w:tc>
        <w:tc>
          <w:tcPr>
            <w:tcW w:w="5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49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Diseñar procedimientos con base a una selección de técnicas de síntesis para la obtención e incorporación de nanomateriales a producir en un laboratorio, para la solución de un problema o necesidad.</w:t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649" w:hRule="atLeast"/>
        </w:trPr>
        <w:tc>
          <w:tcPr>
            <w:tcW w:w="32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>
                <w:rFonts w:ascii="Roboto" w:hAnsi="Roboto" w:eastAsia="Roboto" w:cs="Roboto"/>
                <w:color w:val="1F1F1F"/>
                <w:sz w:val="18"/>
                <w:szCs w:val="18"/>
                <w:highlight w:val="white"/>
              </w:rPr>
            </w:pPr>
            <w:r>
              <w:rPr>
                <w:rFonts w:eastAsia="Roboto" w:cs="Roboto" w:ascii="Roboto" w:hAnsi="Roboto"/>
                <w:color w:val="1F1F1F"/>
                <w:sz w:val="18"/>
                <w:szCs w:val="18"/>
                <w:highlight w:val="white"/>
              </w:rPr>
              <w:t>Diseñar procedimientos para aplicar técnicas de caracterización con base al tipo de nanomaterial, requerimientos del cliente, normatividad aplicable y condiciones de seguridad, para asegurar la calidad del producto.</w:t>
            </w:r>
          </w:p>
        </w:tc>
        <w:tc>
          <w:tcPr>
            <w:tcW w:w="58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pBdr/>
        <w:spacing w:before="0" w:after="0"/>
        <w:rPr>
          <w:color w:val="000000"/>
        </w:rPr>
      </w:pPr>
      <w:r>
        <w:rPr>
          <w:color w:val="000000"/>
        </w:rPr>
      </w:r>
    </w:p>
    <w:p>
      <w:pPr>
        <w:pStyle w:val="Normal"/>
        <w:pBdr/>
        <w:spacing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"/>
        <w:pBdr/>
        <w:spacing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7"/>
        <w:tblW w:w="1248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160"/>
              <w:rPr/>
            </w:pPr>
            <w:r>
              <w:rPr/>
              <w:t>Introducción a los materiales cerámicos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esperado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El estudiante conocerá la estructura y fases de  los materiales cerámicos.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12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000000"/>
              </w:rPr>
            </w:pPr>
            <w:r>
              <w:rPr/>
              <w:t>20</w:t>
            </w:r>
          </w:p>
        </w:tc>
      </w:tr>
    </w:tbl>
    <w:p>
      <w:pPr>
        <w:pStyle w:val="Normal"/>
        <w:pBdr/>
        <w:spacing w:before="0" w:after="0"/>
        <w:rPr/>
      </w:pPr>
      <w:r>
        <w:rPr/>
      </w:r>
    </w:p>
    <w:p>
      <w:pPr>
        <w:pStyle w:val="Normal"/>
        <w:pBdr/>
        <w:spacing w:before="0" w:after="0"/>
        <w:rPr/>
      </w:pPr>
      <w:r>
        <w:rPr/>
      </w:r>
    </w:p>
    <w:p>
      <w:pPr>
        <w:pStyle w:val="Normal"/>
        <w:pBdr/>
        <w:spacing w:before="0" w:after="0"/>
        <w:rPr/>
      </w:pPr>
      <w:r>
        <w:rPr/>
      </w:r>
    </w:p>
    <w:tbl>
      <w:tblPr>
        <w:tblStyle w:val="afff8"/>
        <w:tblW w:w="1251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Introducción a la química de los materiales cerámicos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la estructura de los materiales cerámicos.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los diferentes tipos de estructuras, AX, AX2, A2X3, AB2X.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Identificar la estructura de los silicatos y de los minerales arcillosos.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Esbozar la estructura cristalina de los materiales cerámicos.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Iniciativa.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Analítico.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Proactivo.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Ordenado.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bCs/>
              </w:rPr>
              <w:t>Habilidad para trabajar en equipo.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Tipos de materiales cerámicos</w:t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Identificar los materiales cerámicos tradicionales y técnicos.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Describir las características de los materiales cerámicos.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Reconocer los reforzantes y matrices cerámicas en  materiales compuestos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Seleccionar basándose en las características de los materiales cerámicos el material adecuado para una aplicación determinada.</w:t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tbl>
      <w:tblPr>
        <w:tblStyle w:val="afff9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ind w:left="-80" w:hanging="0"/>
              <w:rPr/>
            </w:pPr>
            <w:r>
              <w:rPr/>
              <w:t>Reporte de experimentos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Resolución de problemas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Mapas conceptuales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Presentaciones/exposiciones</w:t>
            </w:r>
          </w:p>
          <w:p>
            <w:pPr>
              <w:pStyle w:val="Normal"/>
              <w:widowControl w:val="false"/>
              <w:spacing w:before="0" w:after="160"/>
              <w:ind w:left="-80" w:hanging="0"/>
              <w:rPr/>
            </w:pPr>
            <w:r>
              <w:rPr/>
              <w:t>Portafolio de evidencias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Pintarrón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Proyector</w:t>
            </w:r>
          </w:p>
          <w:p>
            <w:pPr>
              <w:pStyle w:val="Normal"/>
              <w:widowControl w:val="false"/>
              <w:spacing w:before="0" w:after="160"/>
              <w:ind w:left="-80" w:hanging="0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pBdr/>
        <w:spacing w:before="0" w:after="0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afffa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Reconocer los diferentes materiales cerámicos, sus características y propiedades.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Elaborará un reporte de investigación sobre las propiedades de los materiales cerámicos que contenga.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pacing w:before="240" w:after="160"/>
              <w:rPr/>
            </w:pPr>
            <w:r>
              <w:rPr/>
              <w:t>Clasificación y estructura de los silicatos.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Clasificación y estructura de las arcillas.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rPr/>
            </w:pPr>
            <w:r>
              <w:rPr/>
              <w:t>Aplicaciones de los materiales cerámicos nanoestructurados.</w:t>
            </w:r>
          </w:p>
          <w:p>
            <w:pPr>
              <w:pStyle w:val="Normal"/>
              <w:widowControl w:val="false"/>
              <w:spacing w:before="0" w:after="240"/>
              <w:ind w:left="720" w:hanging="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Rúbricas</w:t>
            </w:r>
          </w:p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Listas de cotejo</w:t>
            </w:r>
          </w:p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</w:r>
          </w:p>
        </w:tc>
      </w:tr>
    </w:tbl>
    <w:p>
      <w:pPr>
        <w:pStyle w:val="Normal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fffb"/>
        <w:tblW w:w="1248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160"/>
              <w:rPr/>
            </w:pPr>
            <w:r>
              <w:rPr/>
              <w:t>Propiedades físicas, térmicas y mecánicas de los materiales cerámicos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esperado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El estudiante identificará y determinará  las propiedades  de los materiales cerámicos.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30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ffc"/>
        <w:tblW w:w="1251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Propiedades electromagnéticas de los materiales cerámicos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Describir los conceptos de conductividad electrónica, conductividad iónica, semiconductividad, superconductividad.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Describir el comportamiento dieléctrico de los materiales cerámicos como: Piezoelectricidad, piroelectricidad y ferroelectricidad.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Describir las propiedades ópticas de los materiales cerámicos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Explicar la conducción intrínseca y la conducción extrínseca en los materiales cerámicos.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Ilustrar la aplicación de la conducción iónica.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Demostrar experimentalmente el efecto piezoeléctrico en un material cerámico.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Iniciativa.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Analítico.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Proactivo.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Ordenado.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>
                <w:bCs/>
              </w:rPr>
            </w:pPr>
            <w:r>
              <w:rPr>
                <w:bCs/>
              </w:rPr>
              <w:t>Habilidad para trabajar en equipo.</w:t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jc w:val="both"/>
              <w:rPr/>
            </w:pPr>
            <w:r>
              <w:rPr/>
              <w:t>Propiedades mecánicas de los materiales cerámicos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Reconocer los conceptos de Dureza, Elasticidad y deformación entre otros.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Identificar los conceptos de imperfecciones de los materiales cerámicos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Explicar las aplicaciones de los materiales cerámicos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Aplicar el concepto de elasticidad y sus curvas típicas.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Examinar el efecto de la temperatura en el módulo de elasticidad 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Examinar el efecto de la porosidad en la elasticidad.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Aplicar las pruebas de dureza estática y dinámica que se pueden realizar en los materiales cerámicos.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jc w:val="both"/>
              <w:rPr/>
            </w:pPr>
            <w:r>
              <w:rPr/>
              <w:t>Propiedades térmicas de los materiales cerámicos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Describir los conceptos de capacidad térmica y calor específico.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Describir el proceso de expansión térmica.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Describir el proceso de conductividad térmica.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Identificar el concepto de choque térmico</w:t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Examinar la importancia de la expansión térmica en los materiales cerámicos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Calcular la conductividad térmica  de algún material cerámico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Examinar la importancia de la mecánica de fracturas en los materiales cerámicos.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Inferir las propiedades termo químicas de los materiales cerámicos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Propiedades químicos y biológicos de los materiales cerámicos</w:t>
            </w:r>
          </w:p>
        </w:tc>
        <w:tc>
          <w:tcPr>
            <w:tcW w:w="382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Identificar el concepto de resistencia a la corrosión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Identificar el concepto de adsorción química.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Identificar el concepto de compatibilidad biológica.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Examinar los diferentes procesos de corrosión en los materiales cerámicos.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Aplicar las características de los materiales cerámicos como adsorventes.</w:t>
            </w:r>
          </w:p>
          <w:p>
            <w:pPr>
              <w:pStyle w:val="Normal"/>
              <w:widowControl w:val="false"/>
              <w:spacing w:before="240" w:after="240"/>
              <w:ind w:left="-60" w:hanging="0"/>
              <w:rPr/>
            </w:pPr>
            <w:r>
              <w:rPr/>
              <w:t>Ilustrar los tipos de adsorción que pueden ocurrir en un material cerámico.</w:t>
            </w:r>
          </w:p>
        </w:tc>
        <w:tc>
          <w:tcPr>
            <w:tcW w:w="27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lineRule="auto" w:line="276" w:before="240" w:after="240"/>
              <w:ind w:left="-60" w:hanging="0"/>
              <w:rPr/>
            </w:pPr>
            <w:r>
              <w:rPr/>
            </w:r>
          </w:p>
        </w:tc>
      </w:tr>
    </w:tbl>
    <w:tbl>
      <w:tblPr>
        <w:tblStyle w:val="afffd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ind w:left="-80" w:hanging="0"/>
              <w:rPr/>
            </w:pPr>
            <w:r>
              <w:rPr/>
              <w:t>Reporte de experimentos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Resolución de problemas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Mapas conceptuales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Presentaciones/exposiciones</w:t>
            </w:r>
          </w:p>
          <w:p>
            <w:pPr>
              <w:pStyle w:val="Normal"/>
              <w:widowControl w:val="false"/>
              <w:spacing w:before="0" w:after="160"/>
              <w:ind w:left="-80" w:hanging="0"/>
              <w:rPr/>
            </w:pPr>
            <w:r>
              <w:rPr/>
              <w:t>Portafolio de evidencias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Pintarrón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Proyector</w:t>
            </w:r>
          </w:p>
          <w:p>
            <w:pPr>
              <w:pStyle w:val="Normal"/>
              <w:widowControl w:val="false"/>
              <w:spacing w:before="0" w:after="160"/>
              <w:ind w:left="-80" w:hanging="0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18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fffe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9115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Reconocer las diferentes propiedades de los materiales cerámicos y sus aplicaciones.</w:t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Elaborará un reporte de investigación sobre la prueba de dureza en materiales cerámicos, que incluya:</w:t>
            </w:r>
          </w:p>
          <w:p>
            <w:pPr>
              <w:pStyle w:val="Normal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Descripción de los diferentes tipos de ensayo.</w:t>
            </w:r>
          </w:p>
          <w:p>
            <w:pPr>
              <w:pStyle w:val="Normal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Descripción de los diferentes tipos de identador.</w:t>
            </w:r>
          </w:p>
          <w:p>
            <w:pPr>
              <w:pStyle w:val="Normal"/>
              <w:widowControl w:val="false"/>
              <w:ind w:left="700" w:hanging="280"/>
              <w:rPr/>
            </w:pPr>
            <w:r>
              <w:rPr/>
              <w:t>•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ab/>
            </w:r>
            <w:r>
              <w:rPr/>
              <w:t>Descripción de los materiales donde se usa cada tipo de ensayo.</w:t>
            </w:r>
          </w:p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Elaborará un reporte de práctica sobre la identificación y ensayos mecánicos en cerámicos, que incluya: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/>
            </w:pPr>
            <w:r>
              <w:rPr/>
              <w:t>Requerimientos de unión cementante.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/>
            </w:pPr>
            <w:r>
              <w:rPr/>
              <w:t>Tipos de cemento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/>
            </w:pPr>
            <w:r>
              <w:rPr/>
              <w:t>Mediciones de resistencia a la compresión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/>
            </w:pPr>
            <w:r>
              <w:rPr/>
              <w:t>Grafica de carga vs desplazamiento</w:t>
            </w:r>
          </w:p>
          <w:p>
            <w:pPr>
              <w:pStyle w:val="ListParagraph"/>
              <w:widowControl w:val="false"/>
              <w:numPr>
                <w:ilvl w:val="0"/>
                <w:numId w:val="5"/>
              </w:numPr>
              <w:rPr/>
            </w:pPr>
            <w:r>
              <w:rPr/>
              <w:t>Modulo de Young, resistencia máxima, punto de ruptura</w:t>
            </w:r>
          </w:p>
          <w:p>
            <w:pPr>
              <w:pStyle w:val="Normal"/>
              <w:widowControl w:val="false"/>
              <w:rPr/>
            </w:pPr>
            <w:r>
              <w:rPr/>
              <w:t>.</w:t>
            </w:r>
          </w:p>
          <w:p>
            <w:pPr>
              <w:pStyle w:val="Normal"/>
              <w:widowControl w:val="false"/>
              <w:spacing w:before="0" w:after="160"/>
              <w:ind w:left="700" w:hanging="280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Rúbricas</w:t>
            </w:r>
          </w:p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Listas de cotejo</w:t>
            </w:r>
          </w:p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Listas de registro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 xml:space="preserve"> </w:t>
      </w:r>
      <w:r>
        <w:br w:type="page"/>
      </w:r>
    </w:p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ffff"/>
        <w:tblW w:w="1248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pacing w:before="0" w:after="160"/>
              <w:rPr/>
            </w:pPr>
            <w:r>
              <w:rPr/>
              <w:t>Procesos de elaboración y aplicaciones de materiales cerámicos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esperado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El estudiante se familiarizará con los procesos de fabricación de los materiales cerámicos.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40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fff0"/>
        <w:tblW w:w="12510" w:type="dxa"/>
        <w:jc w:val="left"/>
        <w:tblInd w:w="-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609"/>
        <w:gridCol w:w="3826"/>
        <w:gridCol w:w="3330"/>
        <w:gridCol w:w="2744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  <w:t>Selección de materia prima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Identificar las materias primas naturales y sintéticas para la fabricación de materiales cerámicos.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Reconocer las características y clasificación de las materias primas.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240"/>
              <w:rPr/>
            </w:pPr>
            <w:r>
              <w:rPr/>
              <w:t>Localizar las materias primas utilizadas para la fabricación de materiales cerámicos y sus características.</w:t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240" w:after="240"/>
              <w:rPr/>
            </w:pPr>
            <w:r>
              <w:rPr/>
            </w:r>
          </w:p>
        </w:tc>
        <w:tc>
          <w:tcPr>
            <w:tcW w:w="2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Iniciativa.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Analítico.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Proactivo.</w:t>
            </w:r>
          </w:p>
          <w:p>
            <w:pPr>
              <w:pStyle w:val="Normal"/>
              <w:widowControl w:val="false"/>
              <w:rPr>
                <w:bCs/>
              </w:rPr>
            </w:pPr>
            <w:r>
              <w:rPr>
                <w:bCs/>
              </w:rPr>
              <w:t>Ordenado.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bCs/>
              </w:rPr>
              <w:t>Habilidad para trabajar en equipo.</w:t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Procesos e fabricación de los materiales cerámicos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Explicar los métodos de obtención de materiales cerámicos tales como: Precipitación, co-precipitación, Sol-gel, PVD y CVD.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</w:t>
            </w:r>
            <w:r>
              <w:rPr/>
              <w:t>Describir los métodos de sinterización, sinterización a baja temperatura, compactación isoestátita caliente, síntesis por extensión.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Identificar la composición y diagramas de fase de los materiales cerámicos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Interpretar un diagrama de fases de materiales cerámicos.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Seleccionar la técnica de fabricación de un material cerámico.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/>
            </w:pPr>
            <w:r>
              <w:rPr/>
              <w:t>Proponer la aplicación de un material cerámico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ind w:left="720" w:hanging="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before="0" w:after="160"/>
              <w:rPr/>
            </w:pPr>
            <w:r>
              <w:rPr/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pBdr/>
              <w:spacing w:lineRule="auto" w:line="276" w:before="0" w:after="160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affff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pBdr/>
              <w:spacing w:lineRule="auto" w:line="276" w:before="0" w:after="160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ind w:left="-80" w:hanging="0"/>
              <w:rPr/>
            </w:pPr>
            <w:r>
              <w:rPr/>
              <w:t>Reporte de experimentos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Resolución de problemas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Mapas conceptuales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Presentaciones/exposiciones</w:t>
            </w:r>
          </w:p>
          <w:p>
            <w:pPr>
              <w:pStyle w:val="Normal"/>
              <w:widowControl w:val="false"/>
              <w:spacing w:before="0" w:after="160"/>
              <w:ind w:left="-80" w:hanging="0"/>
              <w:rPr/>
            </w:pPr>
            <w:r>
              <w:rPr/>
              <w:t>Portafolio de evidencias</w:t>
            </w:r>
          </w:p>
        </w:tc>
        <w:tc>
          <w:tcPr>
            <w:tcW w:w="429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Pintarrón</w:t>
            </w:r>
          </w:p>
          <w:p>
            <w:pPr>
              <w:pStyle w:val="Normal"/>
              <w:widowControl w:val="false"/>
              <w:ind w:left="-80" w:hanging="0"/>
              <w:rPr/>
            </w:pPr>
            <w:r>
              <w:rPr/>
              <w:t>Proyector</w:t>
            </w:r>
          </w:p>
          <w:p>
            <w:pPr>
              <w:pStyle w:val="Normal"/>
              <w:widowControl w:val="false"/>
              <w:spacing w:before="0" w:after="160"/>
              <w:ind w:left="-80" w:hanging="0"/>
              <w:rPr/>
            </w:pPr>
            <w:r>
              <w:rPr/>
              <w:t>Simulaciones y animaciones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X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ffff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Reconocer los diferentes procesos de fabricación de los dispositivos semiconductores y las técnicas de caracterización más usadas.</w:t>
            </w:r>
          </w:p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</w:r>
          </w:p>
        </w:tc>
        <w:tc>
          <w:tcPr>
            <w:tcW w:w="40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Elaborará un reporte sobre los diferentes procesos de fabricación de los materiales cerámicos</w:t>
            </w:r>
          </w:p>
          <w:p>
            <w:pPr>
              <w:pStyle w:val="Normal"/>
              <w:widowControl w:val="false"/>
              <w:spacing w:before="240" w:after="240"/>
              <w:ind w:left="-80" w:hanging="0"/>
              <w:rPr/>
            </w:pPr>
            <w:r>
              <w:rPr/>
              <w:t>Analizará un estudio de caso determinado, de un material cerámico y elaborará un reporte sobre las técnicas de fabricación y  caracterización requeridas para conocer sus propiedades.</w:t>
            </w:r>
          </w:p>
        </w:tc>
        <w:tc>
          <w:tcPr>
            <w:tcW w:w="33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Rúbricas</w:t>
            </w:r>
          </w:p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Listas de cotejo</w:t>
            </w:r>
          </w:p>
          <w:p>
            <w:pPr>
              <w:pStyle w:val="Normal"/>
              <w:keepLines/>
              <w:widowControl w:val="false"/>
              <w:spacing w:before="240" w:after="240"/>
              <w:ind w:left="-80" w:hanging="0"/>
              <w:rPr/>
            </w:pPr>
            <w:r>
              <w:rPr/>
              <w:t>Listas de registro</w:t>
            </w:r>
          </w:p>
        </w:tc>
      </w:tr>
      <w:tr>
        <w:trPr>
          <w:trHeight w:val="405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affff3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Licenciatura, ingeniería o posgrado en: Química, Ciencias de Materiales, Nanotecnología o áreas afines.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Cursos relacionados con pedagogía, didáctica, educación, habilidades docentes, habilidades socioemocionales y de comunicación, ambientes virtuales de aprendizaje y afines.</w:t>
            </w:r>
          </w:p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</w:rPr>
            </w:pPr>
            <w:r>
              <w:rPr>
                <w:b/>
              </w:rPr>
              <w:t>Experiencia docente preferentemente en educación superior. Dos años de experiencia de acuerdo a su formación académica.</w:t>
            </w:r>
          </w:p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tbl>
      <w:tblPr>
        <w:tblStyle w:val="affff4"/>
        <w:tblW w:w="1260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2354"/>
        <w:gridCol w:w="2355"/>
        <w:gridCol w:w="2355"/>
        <w:gridCol w:w="2010"/>
        <w:gridCol w:w="1725"/>
        <w:gridCol w:w="1800"/>
      </w:tblGrid>
      <w:tr>
        <w:trPr>
          <w:trHeight w:val="282" w:hRule="atLeast"/>
        </w:trPr>
        <w:tc>
          <w:tcPr>
            <w:tcW w:w="1259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360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rFonts w:eastAsia="Times New Roman" w:cs="Arial" w:ascii="Arial" w:hAnsi="Arial"/>
                <w:lang w:val="en-US" w:eastAsia="es-ES"/>
              </w:rPr>
              <w:t>Callister W. D., Rethwisch D.G.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rFonts w:eastAsia="Times New Roman" w:cs="Arial" w:ascii="Arial" w:hAnsi="Arial"/>
                <w:lang w:val="es-ES" w:eastAsia="es-ES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Times New Roman" w:cs="Arial" w:ascii="Arial" w:hAnsi="Arial"/>
                <w:i/>
                <w:iCs/>
                <w:lang w:val="es-ES" w:eastAsia="es-ES"/>
              </w:rPr>
              <w:t>Introducción a la Ciencia e Ingeniería de los Materiales 2</w:t>
            </w:r>
            <w:r>
              <w:rPr>
                <w:rFonts w:eastAsia="Times New Roman" w:cs="Arial" w:ascii="Arial" w:hAnsi="Arial"/>
                <w:i/>
                <w:iCs/>
                <w:vertAlign w:val="superscript"/>
                <w:lang w:val="es-ES" w:eastAsia="es-ES"/>
              </w:rPr>
              <w:t>a</w:t>
            </w:r>
            <w:r>
              <w:rPr>
                <w:rFonts w:eastAsia="Times New Roman" w:cs="Arial" w:ascii="Arial" w:hAnsi="Arial"/>
                <w:i/>
                <w:iCs/>
                <w:lang w:val="es-ES" w:eastAsia="es-ES"/>
              </w:rPr>
              <w:t xml:space="preserve"> ed.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Times New Roman" w:cs="Arial" w:ascii="Arial" w:hAnsi="Arial"/>
                <w:lang w:val="es-ES" w:eastAsia="es-ES"/>
              </w:rPr>
              <w:t>Barcelona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Times New Roman" w:cs="Arial" w:ascii="Arial" w:hAnsi="Arial"/>
                <w:lang w:val="en-US" w:eastAsia="es-ES"/>
              </w:rPr>
              <w:t>Reverte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rFonts w:ascii="Lato" w:hAnsi="Lato"/>
                <w:color w:val="888888"/>
                <w:sz w:val="18"/>
                <w:szCs w:val="18"/>
                <w:shd w:fill="FFFFFF" w:val="clear"/>
              </w:rPr>
              <w:t>978-84-291-7251-5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rFonts w:eastAsia="Times New Roman" w:cs="Arial" w:ascii="Arial" w:hAnsi="Arial"/>
                <w:lang w:val="en-US" w:eastAsia="es-ES"/>
              </w:rPr>
              <w:t>D.R. Askeland y W. J. Wright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  <w:lang w:val="en-US"/>
              </w:rPr>
            </w:pPr>
            <w:r>
              <w:rPr>
                <w:b/>
                <w:lang w:val="en-US"/>
              </w:rPr>
              <w:t>2022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Times New Roman" w:cs="Arial" w:ascii="Arial" w:hAnsi="Arial"/>
                <w:i/>
                <w:lang w:eastAsia="es-ES"/>
              </w:rPr>
              <w:t>Ciencia e ingenieria de materiales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Times New Roman" w:cs="Arial" w:ascii="Arial" w:hAnsi="Arial"/>
                <w:lang w:eastAsia="es-ES"/>
              </w:rPr>
              <w:t>México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rFonts w:eastAsia="Times New Roman" w:cs="Arial" w:ascii="Arial" w:hAnsi="Arial"/>
                <w:lang w:eastAsia="es-ES"/>
              </w:rPr>
              <w:t>CENGAGE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/>
            </w:pPr>
            <w:r>
              <w:rPr>
                <w:rStyle w:val="Ctspan"/>
                <w:rFonts w:ascii="Work Sans" w:hAnsi="Work Sans"/>
                <w:color w:val="8E8989"/>
                <w:shd w:fill="FFFFFF" w:val="clear"/>
              </w:rPr>
              <w:t>9786075700366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William Smith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hd w:val="clear" w:color="auto" w:fill="FFFFFF"/>
              <w:spacing w:before="0" w:after="180"/>
              <w:outlineLvl w:val="0"/>
              <w:rPr>
                <w:bCs/>
              </w:rPr>
            </w:pPr>
            <w:r>
              <w:rPr>
                <w:bCs/>
              </w:rPr>
              <w:t>Fundamentos de ingeniería y ciencias de los materiales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Cs/>
              </w:rPr>
            </w:pPr>
            <w:r>
              <w:rPr>
                <w:bCs/>
              </w:rPr>
              <w:t>México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hyperlink r:id="rId4" w:tgtFrame="Mostrar todos los libros de la editorial">
              <w:r>
                <w:rPr>
                  <w:rStyle w:val="InternetLink"/>
                  <w:rFonts w:cs="Open Sans" w:ascii="Open Sans" w:hAnsi="Open Sans"/>
                  <w:color w:val="000000" w:themeColor="text1"/>
                  <w:sz w:val="21"/>
                  <w:szCs w:val="21"/>
                  <w:u w:val="none"/>
                  <w:shd w:fill="F7F7F7" w:val="clear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Mc Graw</w:t>
              </w:r>
              <w:bookmarkStart w:id="4" w:name="_GoBack"/>
              <w:bookmarkEnd w:id="4"/>
              <w:r>
                <w:rPr>
                  <w:rStyle w:val="InternetLink"/>
                  <w:rFonts w:cs="Open Sans" w:ascii="Open Sans" w:hAnsi="Open Sans"/>
                  <w:color w:val="000000" w:themeColor="text1"/>
                  <w:sz w:val="21"/>
                  <w:szCs w:val="21"/>
                  <w:u w:val="none"/>
                  <w:shd w:fill="F7F7F7" w:val="clear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Hill</w:t>
              </w:r>
            </w:hyperlink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cs="Open Sans" w:ascii="Open Sans" w:hAnsi="Open Sans"/>
                <w:color w:val="666666"/>
                <w:sz w:val="21"/>
                <w:szCs w:val="21"/>
                <w:shd w:fill="FCFCFC" w:val="clear"/>
              </w:rPr>
              <w:t>9786071520241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color w:val="4E4E4E"/>
                <w:sz w:val="19"/>
                <w:szCs w:val="19"/>
              </w:rPr>
            </w:pPr>
            <w:r>
              <w:rPr>
                <w:rFonts w:cs="Arial" w:ascii="Arial" w:hAnsi="Arial"/>
                <w:color w:val="4E4E4E"/>
                <w:sz w:val="19"/>
                <w:szCs w:val="19"/>
              </w:rPr>
              <w:t>A</w:t>
            </w:r>
            <w:r>
              <w:rPr>
                <w:rFonts w:cs="Arial" w:ascii="Arial" w:hAnsi="Arial"/>
                <w:color w:val="202020"/>
                <w:sz w:val="19"/>
                <w:szCs w:val="19"/>
              </w:rPr>
              <w:t>nt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o</w:t>
            </w:r>
            <w:r>
              <w:rPr>
                <w:rFonts w:cs="Arial" w:ascii="Arial" w:hAnsi="Arial"/>
                <w:color w:val="202020"/>
                <w:sz w:val="19"/>
                <w:szCs w:val="19"/>
              </w:rPr>
              <w:t>ni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 xml:space="preserve">o 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>d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 xml:space="preserve">e </w:t>
            </w:r>
            <w:r>
              <w:rPr>
                <w:rFonts w:cs="Arial" w:ascii="Arial" w:hAnsi="Arial"/>
                <w:color w:val="060606"/>
                <w:sz w:val="19"/>
                <w:szCs w:val="19"/>
              </w:rPr>
              <w:t>I</w:t>
            </w:r>
            <w:r>
              <w:rPr>
                <w:rFonts w:cs="Arial" w:ascii="Arial" w:hAnsi="Arial"/>
                <w:color w:val="202020"/>
                <w:sz w:val="19"/>
                <w:szCs w:val="19"/>
              </w:rPr>
              <w:t xml:space="preserve">ta 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 xml:space="preserve">de </w:t>
            </w:r>
            <w:r>
              <w:rPr>
                <w:rFonts w:cs="Arial" w:ascii="Arial" w:hAnsi="Arial"/>
                <w:color w:val="202020"/>
                <w:sz w:val="19"/>
                <w:szCs w:val="19"/>
              </w:rPr>
              <w:t>la T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o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>rr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e,</w:t>
            </w:r>
          </w:p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Arial" w:ascii="Arial" w:hAnsi="Arial"/>
                <w:color w:val="4E4E4E"/>
                <w:sz w:val="19"/>
                <w:szCs w:val="19"/>
              </w:rPr>
              <w:t>F</w:t>
            </w:r>
            <w:r>
              <w:rPr>
                <w:rFonts w:cs="Arial" w:ascii="Arial" w:hAnsi="Arial"/>
                <w:color w:val="202020"/>
                <w:sz w:val="19"/>
                <w:szCs w:val="19"/>
              </w:rPr>
              <w:t>r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a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>n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cisc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 xml:space="preserve">a </w:t>
            </w:r>
            <w:r>
              <w:rPr>
                <w:rFonts w:cs="Arial" w:ascii="Arial" w:hAnsi="Arial"/>
                <w:color w:val="202020"/>
                <w:sz w:val="19"/>
                <w:szCs w:val="19"/>
              </w:rPr>
              <w:t>Fran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c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>o V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e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>l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áz</w:t>
            </w:r>
            <w:r>
              <w:rPr>
                <w:rFonts w:cs="Arial" w:ascii="Arial" w:hAnsi="Arial"/>
                <w:color w:val="353535"/>
                <w:sz w:val="19"/>
                <w:szCs w:val="19"/>
              </w:rPr>
              <w:t>qu</w:t>
            </w:r>
            <w:r>
              <w:rPr>
                <w:rFonts w:cs="Arial" w:ascii="Arial" w:hAnsi="Arial"/>
                <w:color w:val="4E4E4E"/>
                <w:sz w:val="19"/>
                <w:szCs w:val="19"/>
              </w:rPr>
              <w:t>ez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2006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Introducción a los materiales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México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UAM-Azcapotzalco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eastAsia="Arial" w:cs="Arial"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color w:val="0F1111"/>
                <w:sz w:val="21"/>
                <w:szCs w:val="21"/>
                <w:highlight w:val="white"/>
              </w:rPr>
              <w:t>9703104851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FuturaMdmTrack" w:ascii="FuturaMdmTrack" w:hAnsi="FuturaMdmTrack"/>
              </w:rPr>
              <w:t>S.M. LINDSAY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2010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sz w:val="20"/>
                <w:szCs w:val="20"/>
              </w:rPr>
            </w:pPr>
            <w:r>
              <w:rPr>
                <w:rFonts w:cs="Futura-Bold" w:ascii="Futura-Bold" w:hAnsi="Futura-Bold"/>
                <w:sz w:val="20"/>
                <w:szCs w:val="20"/>
              </w:rPr>
              <w:t>Introduction to Nanoscience</w:t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>
                <w:rFonts w:cs="Times-Roman" w:ascii="Times-Roman" w:hAnsi="Times-Roman"/>
              </w:rPr>
              <w:t>NewYork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/>
            </w:pPr>
            <w:r>
              <w:rPr/>
              <w:t>Oxford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eastAsia="Arial" w:cs="Arial"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color w:val="0F1111"/>
                <w:sz w:val="21"/>
                <w:szCs w:val="21"/>
                <w:highlight w:val="white"/>
              </w:rPr>
              <w:t>9780199544202</w:t>
            </w:r>
          </w:p>
        </w:tc>
      </w:tr>
      <w:tr>
        <w:trPr>
          <w:trHeight w:val="405" w:hRule="atLeast"/>
        </w:trPr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both"/>
              <w:rPr>
                <w:rFonts w:ascii="Arial" w:hAnsi="Arial" w:eastAsia="Arial" w:cs="Arial"/>
                <w:b/>
                <w:b/>
                <w:color w:val="0F1111"/>
                <w:sz w:val="21"/>
                <w:szCs w:val="21"/>
                <w:highlight w:val="white"/>
              </w:rPr>
            </w:pPr>
            <w:r>
              <w:rPr>
                <w:rFonts w:eastAsia="Arial" w:cs="Arial" w:ascii="Arial" w:hAnsi="Arial"/>
                <w:b/>
                <w:color w:val="0F1111"/>
                <w:sz w:val="21"/>
                <w:szCs w:val="21"/>
                <w:highlight w:val="white"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  <w:t xml:space="preserve"> </w:t>
      </w:r>
    </w:p>
    <w:tbl>
      <w:tblPr>
        <w:tblStyle w:val="affff5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 w:noHBand="0" w:noVBand="1" w:firstColumn="0" w:lastRow="0" w:lastColumn="0" w:firstRow="0"/>
      </w:tblPr>
      <w:tblGrid>
        <w:gridCol w:w="1980"/>
        <w:gridCol w:w="2969"/>
        <w:gridCol w:w="4576"/>
        <w:gridCol w:w="3014"/>
      </w:tblGrid>
      <w:tr>
        <w:trPr>
          <w:tblHeader w:val="true"/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3E7065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blHeader w:val="true"/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434343" w:val="clear"/>
            <w:vAlign w:val="center"/>
          </w:tcPr>
          <w:p>
            <w:pPr>
              <w:pStyle w:val="Normal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</w:r>
          </w:p>
        </w:tc>
      </w:tr>
      <w:tr>
        <w:trPr>
          <w:tblHeader w:val="true"/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blHeader w:val="true"/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0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pBdr/>
        <w:spacing w:before="0" w:after="0"/>
        <w:rPr>
          <w:b/>
          <w:b/>
        </w:rPr>
      </w:pPr>
      <w:r>
        <w:rPr/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Tahoma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Roboto">
    <w:charset w:val="01"/>
    <w:family w:val="swiss"/>
    <w:pitch w:val="default"/>
  </w:font>
  <w:font w:name="Lato">
    <w:charset w:val="01"/>
    <w:family w:val="swiss"/>
    <w:pitch w:val="default"/>
  </w:font>
  <w:font w:name="Work Sans">
    <w:charset w:val="01"/>
    <w:family w:val="swiss"/>
    <w:pitch w:val="default"/>
  </w:font>
  <w:font w:name="Open Sans">
    <w:charset w:val="01"/>
    <w:family w:val="swiss"/>
    <w:pitch w:val="default"/>
  </w:font>
  <w:font w:name="FuturaMdmTrack">
    <w:charset w:val="01"/>
    <w:family w:val="swiss"/>
    <w:pitch w:val="default"/>
  </w:font>
  <w:font w:name="Futura-Bold">
    <w:charset w:val="01"/>
    <w:family w:val="swiss"/>
    <w:pitch w:val="default"/>
  </w:font>
  <w:font w:name="Times-Roman">
    <w:altName w:val="Times New Roman"/>
    <w:charset w:val="01"/>
    <w:family w:val="swiss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ffff6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5" w:name="_heading=h.1fob9te"/>
          <w:bookmarkEnd w:id="5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pBdr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affff6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 w:noHBand="0" w:noVBand="0" w:firstColumn="0" w:lastRow="0" w:lastColumn="0" w:firstRow="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6" w:name="_heading=h.1fob9te"/>
          <w:bookmarkEnd w:id="6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"/>
            <w:widowControl w:val="false"/>
            <w:pBdr/>
            <w:spacing w:lineRule="auto" w:line="276"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89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s-MX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es-MX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TextodegloboCar" w:customStyle="1">
    <w:name w:val="Texto de globo Car"/>
    <w:basedOn w:val="DefaultParagraphFont"/>
    <w:link w:val="BalloonText"/>
    <w:uiPriority w:val="99"/>
    <w:semiHidden/>
    <w:qFormat/>
    <w:rsid w:val="00ea0b95"/>
    <w:rPr>
      <w:rFonts w:ascii="Tahoma" w:hAnsi="Tahoma" w:cs="Tahoma"/>
      <w:sz w:val="16"/>
      <w:szCs w:val="16"/>
    </w:rPr>
  </w:style>
  <w:style w:type="character" w:styleId="Ctspan" w:customStyle="1">
    <w:name w:val="ct-span"/>
    <w:basedOn w:val="DefaultParagraphFont"/>
    <w:qFormat/>
    <w:rsid w:val="006e4cbf"/>
    <w:rPr/>
  </w:style>
  <w:style w:type="character" w:styleId="InternetLink">
    <w:name w:val="Hyperlink"/>
    <w:basedOn w:val="DefaultParagraphFont"/>
    <w:uiPriority w:val="99"/>
    <w:semiHidden/>
    <w:unhideWhenUsed/>
    <w:rsid w:val="006e4cbf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qFormat/>
    <w:pPr>
      <w:keepNext w:val="true"/>
      <w:keepLines/>
      <w:pBdr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ea0b95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574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elsotano.com/editorial/mc-graw-hill/622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<Relationship Id="rId15" Type="http://schemas.openxmlformats.org/officeDocument/2006/relationships/customXml" Target="../customXml/item1.xml"/><Relationship Id="rId16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NyIhLb0NbWvtIR5JbWJiXODCsw==">CgMxLjAyCWguMzBqMHpsbDIIaC5namRneHMyCWguM3pueXNoNzIJaC4xZm9iOXRlOAByITF6OEZaQ2l3UDkxVU8ycjY0c1BwcDZwZVJtTDhTNEJfdg==</go:docsCustomData>
</go:gDocsCustomXmlDataStorage>
</file>

<file path=customXml/itemProps1.xml><?xml version="1.0" encoding="utf-8"?>
<ds:datastoreItem xmlns:ds="http://schemas.openxmlformats.org/officeDocument/2006/customXml" ds:itemID="{311AB28E-AB9D-4DFB-998C-54AE2C7746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LibreOffice/7.3.7.2$Linux_X86_64 LibreOffice_project/30$Build-2</Application>
  <AppVersion>15.0000</AppVersion>
  <Pages>16</Pages>
  <Words>1497</Words>
  <Characters>9711</Characters>
  <CharactersWithSpaces>10894</CharactersWithSpaces>
  <Paragraphs>323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2024-06-20T00:22:00Z</dcterms:created>
  <dc:creator>Fabiola Aquino Caballero</dc:creator>
  <dc:description/>
  <dc:language>en-US</dc:language>
  <cp:lastModifiedBy/>
  <dcterms:modified xsi:type="dcterms:W3CDTF">2024-07-04T16:02:14Z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