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numbering.xml" ContentType="application/vnd.openxmlformats-officedocument.wordprocessingml.numbering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media/image1.png" ContentType="image/png"/>
  <Override PartName="/word/media/image2.png" ContentType="image/png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_heading=h.87zwtslbgxzy"/>
      <w:bookmarkStart w:id="1" w:name="_heading=h.87zwtslbgxzy"/>
      <w:bookmarkEnd w:id="1"/>
    </w:p>
    <w:p>
      <w:pPr>
        <w:pStyle w:val="Normal1"/>
        <w:widowControl w:val="false"/>
        <w:pBdr/>
        <w:spacing w:lineRule="auto" w:line="276" w:before="0" w:after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2" w:name="_heading=h.30j0zll"/>
      <w:bookmarkStart w:id="3" w:name="_heading=h.30j0zll"/>
      <w:bookmarkEnd w:id="3"/>
    </w:p>
    <w:tbl>
      <w:tblPr>
        <w:tblStyle w:val="Table1"/>
        <w:tblW w:w="1242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017"/>
        <w:gridCol w:w="7325"/>
        <w:gridCol w:w="2086"/>
      </w:tblGrid>
      <w:tr>
        <w:trPr/>
        <w:tc>
          <w:tcPr>
            <w:tcW w:w="3017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806575" cy="351155"/>
                  <wp:effectExtent l="0" t="0" r="0" b="0"/>
                  <wp:docPr id="1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351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25" w:type="dxa"/>
            <w:tcBorders/>
            <w:vAlign w:val="center"/>
          </w:tcPr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PROGRAMA EDUCATIVO: TÉCNICO SUPERIOR UNIVERSITARIO EN NANOTECNOLOGÍA</w:t>
            </w:r>
          </w:p>
          <w:p>
            <w:pPr>
              <w:pStyle w:val="Normal1"/>
              <w:widowControl w:val="false"/>
              <w:pBdr/>
              <w:tabs>
                <w:tab w:val="clear" w:pos="720"/>
                <w:tab w:val="center" w:pos="4419" w:leader="none"/>
                <w:tab w:val="right" w:pos="8838" w:leader="none"/>
              </w:tabs>
              <w:spacing w:lineRule="auto" w:line="259" w:before="0" w:after="160"/>
              <w:jc w:val="center"/>
              <w:rPr>
                <w:b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EN COMPETENCIAS PROFESIONALES</w:t>
            </w:r>
          </w:p>
        </w:tc>
        <w:tc>
          <w:tcPr>
            <w:tcW w:w="2086" w:type="dxa"/>
            <w:tcBorders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3E7065"/>
                <w:sz w:val="24"/>
                <w:szCs w:val="24"/>
              </w:rPr>
            </w:pPr>
            <w:r>
              <w:rPr/>
              <w:drawing>
                <wp:inline distT="0" distB="0" distL="0" distR="0">
                  <wp:extent cx="1169035" cy="579755"/>
                  <wp:effectExtent l="0" t="0" r="0" b="0"/>
                  <wp:docPr id="2" name="image2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9035" cy="579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color w:val="3E7065"/>
                <w:sz w:val="24"/>
                <w:szCs w:val="24"/>
              </w:rPr>
              <w:t xml:space="preserve">       </w:t>
            </w:r>
          </w:p>
        </w:tc>
      </w:tr>
    </w:tbl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</w:r>
    </w:p>
    <w:p>
      <w:pPr>
        <w:pStyle w:val="Normal1"/>
        <w:pBdr/>
        <w:spacing w:lineRule="auto" w:line="240" w:before="0" w:after="0"/>
        <w:rPr>
          <w:b/>
          <w:b/>
          <w:color w:val="3E7065"/>
          <w:sz w:val="24"/>
          <w:szCs w:val="24"/>
        </w:rPr>
      </w:pPr>
      <w:r>
        <w:rPr>
          <w:b/>
          <w:color w:val="3E7065"/>
          <w:sz w:val="24"/>
          <w:szCs w:val="24"/>
        </w:rPr>
        <w:t>PROGRAMA DE ASIGNATURA: SÍNTESIS DE NANOMATERIALES</w:t>
        <w:tab/>
        <w:tab/>
        <w:tab/>
        <w:t xml:space="preserve">               CLAVE:_________________________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FFFFFF"/>
        </w:rPr>
      </w:pPr>
      <w:r>
        <w:rPr>
          <w:b/>
          <w:color w:val="FFFFFF"/>
        </w:rPr>
      </w:r>
    </w:p>
    <w:tbl>
      <w:tblPr>
        <w:tblStyle w:val="Table2"/>
        <w:tblW w:w="1248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560"/>
        <w:gridCol w:w="1365"/>
        <w:gridCol w:w="284"/>
        <w:gridCol w:w="1246"/>
        <w:gridCol w:w="2340"/>
        <w:gridCol w:w="2819"/>
        <w:gridCol w:w="2865"/>
      </w:tblGrid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Propósito de aprendizaje de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Arial" w:hAnsi="Arial" w:eastAsia="Arial" w:cs="Arial"/>
                <w:highlight w:val="yellow"/>
              </w:rPr>
            </w:pPr>
            <w:r>
              <w:rPr>
                <w:highlight w:val="white"/>
              </w:rPr>
              <w:t>El estudiante establecerá parámetros, determinará la metodología por vía seca y húmeda, además, desarrollará el proceso de síntesis para obtener nanomateriales.</w:t>
            </w:r>
          </w:p>
        </w:tc>
      </w:tr>
      <w:tr>
        <w:trPr/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Competencia a la que contribuye la asignatura</w:t>
            </w:r>
          </w:p>
        </w:tc>
        <w:tc>
          <w:tcPr>
            <w:tcW w:w="95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Producir nanomateriales mediante procedimientos de síntesis establecidos cumpliendo con la normatividad aplicable, para contribuir  a la innovación tecnológica, a fin de resolver problemas del sector productivo, comercial, académico y social, con principios éticos, inclusivos, de equidad y con visión sostenible.</w:t>
            </w:r>
          </w:p>
        </w:tc>
      </w:tr>
      <w:tr>
        <w:trPr>
          <w:trHeight w:val="486" w:hRule="atLeast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 xml:space="preserve"> </w:t>
            </w:r>
            <w:r>
              <w:rPr>
                <w:color w:val="FFFFFF"/>
              </w:rPr>
              <w:t>Tipo de competencia</w:t>
            </w:r>
          </w:p>
        </w:tc>
        <w:tc>
          <w:tcPr>
            <w:tcW w:w="16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Cuatrimestre</w:t>
            </w:r>
          </w:p>
        </w:tc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Créditos</w:t>
            </w:r>
          </w:p>
        </w:tc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Modalidad</w:t>
            </w:r>
          </w:p>
        </w:tc>
        <w:tc>
          <w:tcPr>
            <w:tcW w:w="2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Horas por semana</w:t>
            </w:r>
          </w:p>
        </w:tc>
        <w:tc>
          <w:tcPr>
            <w:tcW w:w="2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color w:val="FFFFFF"/>
              </w:rPr>
              <w:t>Horas Totales</w:t>
            </w:r>
          </w:p>
        </w:tc>
      </w:tr>
      <w:tr>
        <w:trPr>
          <w:trHeight w:val="309" w:hRule="atLeast"/>
        </w:trPr>
        <w:tc>
          <w:tcPr>
            <w:tcW w:w="156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649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124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34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86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622" w:hRule="atLeast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Específica</w:t>
            </w: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Tercer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5.6245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Escolarizada</w:t>
            </w:r>
          </w:p>
        </w:tc>
        <w:tc>
          <w:tcPr>
            <w:tcW w:w="2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  <w:bookmarkStart w:id="4" w:name="_heading=h.gjdgxs"/>
      <w:bookmarkStart w:id="5" w:name="_heading=h.gjdgxs"/>
      <w:bookmarkEnd w:id="5"/>
    </w:p>
    <w:tbl>
      <w:tblPr>
        <w:tblStyle w:val="Table3"/>
        <w:tblW w:w="124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561"/>
        <w:gridCol w:w="2634"/>
        <w:gridCol w:w="2511"/>
        <w:gridCol w:w="2721"/>
      </w:tblGrid>
      <w:tr>
        <w:trPr>
          <w:trHeight w:val="200" w:hRule="atLeast"/>
        </w:trPr>
        <w:tc>
          <w:tcPr>
            <w:tcW w:w="4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Unidades de Aprendizaje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</w:tr>
      <w:tr>
        <w:trPr>
          <w:trHeight w:val="308" w:hRule="atLeast"/>
        </w:trPr>
        <w:tc>
          <w:tcPr>
            <w:tcW w:w="45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lineRule="auto" w:line="240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</w:r>
          </w:p>
        </w:tc>
      </w:tr>
      <w:tr>
        <w:trPr>
          <w:trHeight w:val="50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1.- Síntesis por vía seca.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12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18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30</w:t>
            </w:r>
          </w:p>
        </w:tc>
      </w:tr>
      <w:tr>
        <w:trPr>
          <w:trHeight w:val="560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2.- Síntesis por vía húmeda.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24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36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60</w:t>
            </w:r>
          </w:p>
        </w:tc>
      </w:tr>
      <w:tr>
        <w:trPr>
          <w:trHeight w:val="394" w:hRule="atLeast"/>
        </w:trPr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right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Totales</w:t>
            </w:r>
          </w:p>
        </w:tc>
        <w:tc>
          <w:tcPr>
            <w:tcW w:w="2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36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54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FFFF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90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  <w:highlight w:val="yellow"/>
        </w:rPr>
      </w:pPr>
      <w:r>
        <w:rPr>
          <w:color w:val="000000"/>
          <w:highlight w:val="yellow"/>
        </w:rPr>
      </w:r>
    </w:p>
    <w:p>
      <w:pPr>
        <w:pStyle w:val="Normal1"/>
        <w:pBdr/>
        <w:rPr>
          <w:b/>
          <w:b/>
          <w:color w:val="000000"/>
        </w:rPr>
      </w:pPr>
      <w:r>
        <w:rPr>
          <w:b/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4"/>
        <w:tblW w:w="1236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3254"/>
        <w:gridCol w:w="3256"/>
        <w:gridCol w:w="5850"/>
      </w:tblGrid>
      <w:tr>
        <w:trPr>
          <w:trHeight w:val="40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Funciones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Capacidades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Criterios de Desempeño</w:t>
            </w:r>
          </w:p>
        </w:tc>
      </w:tr>
      <w:tr>
        <w:trPr>
          <w:trHeight w:val="520" w:hRule="atLeast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Sintetizar nanomateriales a través de técnicas establecidas, con base en la normatividad aplicable, para asegurar la satisfacción de las necesidades de un mercado o de investigación.</w:t>
            </w:r>
          </w:p>
        </w:tc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Producir nanomateriales mediante procedimientos de síntesis ya establecidos.</w:t>
            </w:r>
          </w:p>
        </w:tc>
        <w:tc>
          <w:tcPr>
            <w:tcW w:w="5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Presenta el material nanoestructurado con las propiedades obtenidas.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Documenta el proceso en un reporte que incluye: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Procedimiento de síntesis.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Parámetros con que se sintetizó el material.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 La trazabilidad de las etapas del procedimiento utilizada que incluya: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     </w:t>
            </w:r>
            <w:r>
              <w:rPr/>
              <w:t>a) Condiciones aplicadas de acuerdo al procedimiento de síntesis utilizado.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     </w:t>
            </w:r>
            <w:r>
              <w:rPr/>
              <w:t>b) Valores de los parámetros obtenidos de cada intervención en el proceso de síntesis.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Anexa formatos de resultados.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p>
      <w:pPr>
        <w:pStyle w:val="Normal1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pBdr/>
        <w:spacing w:lineRule="auto" w:line="240" w:before="0" w:after="0"/>
        <w:jc w:val="center"/>
        <w:rPr>
          <w:b/>
          <w:b/>
          <w:color w:val="000000"/>
        </w:rPr>
      </w:pPr>
      <w:r>
        <w:rPr>
          <w:b/>
          <w:color w:val="000000"/>
        </w:rPr>
      </w:r>
    </w:p>
    <w:tbl>
      <w:tblPr>
        <w:tblStyle w:val="Table5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Síntesis por vía seca.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color w:val="000000"/>
              </w:rPr>
            </w:pPr>
            <w:r>
              <w:rPr/>
              <w:t>El estudiante sintetizará nanomateriales para identificar las etapas y determinar los parámetros del proceso por vía seca.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12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/>
              <w:t>18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pBdr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</w:tbl>
    <w:p>
      <w:pPr>
        <w:pStyle w:val="Normal1"/>
        <w:pBdr/>
        <w:spacing w:lineRule="auto" w:line="240" w:before="0" w:after="0"/>
        <w:rPr>
          <w:color w:val="000000"/>
        </w:rPr>
      </w:pPr>
      <w:r>
        <w:rPr>
          <w:color w:val="000000"/>
        </w:rPr>
      </w:r>
    </w:p>
    <w:tbl>
      <w:tblPr>
        <w:tblStyle w:val="Table6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pBdr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pBdr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Introducción a medios y parámetros de vía seca.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Identificar las condiciones de trabajo y los parámetros en síntesis de vía seca.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Asumir la responsabilidad y honestidad para realizar actividades en forma individual y en equipo en forma proactiva.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Demostrar la capacidad de manejar y resolver conflictos de manera independiente, promoviendo un ambiente de respeto y colaboración.</w:t>
            </w:r>
          </w:p>
          <w:p>
            <w:pPr>
              <w:pStyle w:val="Normal1"/>
              <w:widowControl w:val="false"/>
              <w:spacing w:before="0" w:after="160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 xml:space="preserve">Métodos de </w:t>
            </w:r>
            <w:r>
              <w:rPr/>
              <w:t>síntesis</w:t>
            </w:r>
            <w:r>
              <w:rPr>
                <w:rFonts w:eastAsia="Calibri" w:cs="Calibri"/>
              </w:rPr>
              <w:t xml:space="preserve"> por vía seca.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  <w:t>Explicar las técnicas de síntesis de materiales por métodos por vía seca: estado sólido, mecanosíntesis, sputtering, calcinación, pulverización catódica, ablación láser, impregnación, spray drying</w:t>
            </w:r>
            <w:r>
              <w:rPr/>
              <w:t>, deposición de física de vapor (</w:t>
            </w:r>
            <w:r>
              <w:rPr>
                <w:rFonts w:eastAsia="Calibri" w:cs="Calibri"/>
              </w:rPr>
              <w:t>PVD)</w:t>
            </w:r>
            <w:r>
              <w:rPr/>
              <w:t xml:space="preserve"> y mezcla de fusión</w:t>
            </w:r>
            <w:r>
              <w:rPr>
                <w:rFonts w:eastAsia="Calibri" w:cs="Calibri"/>
              </w:rPr>
              <w:t>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  <w:highlight w:val="white"/>
              </w:rPr>
            </w:pPr>
            <w:r>
              <w:rPr>
                <w:rFonts w:eastAsia="Calibri" w:cs="Calibri"/>
                <w:highlight w:val="white"/>
              </w:rPr>
              <w:t>Verificar  las condiciones y parámetros del método de síntesis.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Sintetizar materiales por métodos de vía seca.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rFonts w:ascii="Calibri" w:hAnsi="Calibri" w:eastAsia="Calibri" w:cs="Calibri"/>
              </w:rPr>
            </w:pPr>
            <w:r>
              <w:rPr>
                <w:rFonts w:eastAsia="Calibri" w:cs="Calibri"/>
              </w:rPr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7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Tareas de Investigación.</w:t>
            </w:r>
          </w:p>
          <w:p>
            <w:pPr>
              <w:pStyle w:val="Normal1"/>
              <w:widowControl w:val="false"/>
              <w:rPr/>
            </w:pPr>
            <w:r>
              <w:rPr/>
              <w:t>Equipos colaborativos.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Prácticas de laboratorio.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Material y equipo audiovisual: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/>
            </w:pPr>
            <w:r>
              <w:rPr/>
              <w:t>Tesis.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/>
            </w:pPr>
            <w:r>
              <w:rPr/>
              <w:t>Artículos.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/>
            </w:pPr>
            <w:r>
              <w:rPr/>
              <w:t>Internet.</w:t>
            </w:r>
          </w:p>
          <w:p>
            <w:pPr>
              <w:pStyle w:val="Normal1"/>
              <w:widowControl w:val="false"/>
              <w:rPr/>
            </w:pPr>
            <w:r>
              <w:rPr/>
              <w:t>Laboratorio de química: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Vidriería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Mortero.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/>
            </w:pPr>
            <w:r>
              <w:rPr/>
              <w:t>Reactivos.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Equipo básico: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Balanza analítica.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Molino/mezclador.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Tamiz.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Cámara de vacío.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Digestor de microondas.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Procesador ultrasónico.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Rotaevaporador.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Reactor batch.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/>
            </w:pPr>
            <w:r>
              <w:rPr/>
              <w:t>Plancha de calentamiento con agitación magnética.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pBdr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8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numPr>
                <w:ilvl w:val="0"/>
                <w:numId w:val="3"/>
              </w:numPr>
              <w:ind w:left="425" w:hanging="360"/>
              <w:jc w:val="both"/>
              <w:rPr>
                <w:u w:val="none"/>
              </w:rPr>
            </w:pPr>
            <w:r>
              <w:rPr/>
              <w:t>Los estudiantes justifican los métodos empleados.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ind w:left="425" w:hanging="360"/>
              <w:jc w:val="both"/>
              <w:rPr>
                <w:u w:val="none"/>
              </w:rPr>
            </w:pPr>
            <w:r>
              <w:rPr/>
              <w:t>Los estudiantes determinan la cantidad de materiales y reactivos de inicio utilizados en el proceso, así como, el equipo utilizado.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spacing w:before="0" w:after="160"/>
              <w:ind w:left="425" w:hanging="360"/>
              <w:jc w:val="both"/>
              <w:rPr>
                <w:u w:val="none"/>
              </w:rPr>
            </w:pPr>
            <w:r>
              <w:rPr/>
              <w:t>Los estudiantes registran las condiciones y parámetros en el proceso de la síntesis.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A partir de un caso práctico sintetizar  un material nanoestructurado por un método de vía seca y documentar en un reporte técnico el proceso.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Reporte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Rúbrica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</w:r>
    </w:p>
    <w:p>
      <w:pPr>
        <w:pStyle w:val="Normal1"/>
        <w:spacing w:lineRule="auto" w:line="240" w:before="0" w:after="0"/>
        <w:jc w:val="center"/>
        <w:rPr>
          <w:b/>
          <w:b/>
          <w:color w:val="3E7065"/>
          <w:sz w:val="28"/>
          <w:szCs w:val="28"/>
        </w:rPr>
      </w:pPr>
      <w:r>
        <w:rPr>
          <w:b/>
          <w:color w:val="3E7065"/>
          <w:sz w:val="28"/>
          <w:szCs w:val="28"/>
        </w:rPr>
        <w:t>UNIDADES DE APRENDIZAJE</w:t>
      </w:r>
    </w:p>
    <w:p>
      <w:pPr>
        <w:pStyle w:val="Normal1"/>
        <w:spacing w:lineRule="auto" w:line="240" w:before="0" w:after="0"/>
        <w:jc w:val="center"/>
        <w:rPr>
          <w:b/>
          <w:b/>
        </w:rPr>
      </w:pPr>
      <w:r>
        <w:rPr>
          <w:b/>
        </w:rPr>
      </w:r>
    </w:p>
    <w:tbl>
      <w:tblPr>
        <w:tblStyle w:val="Table9"/>
        <w:tblW w:w="1248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205"/>
        <w:gridCol w:w="1530"/>
        <w:gridCol w:w="1440"/>
        <w:gridCol w:w="2355"/>
        <w:gridCol w:w="1934"/>
        <w:gridCol w:w="1620"/>
        <w:gridCol w:w="1395"/>
      </w:tblGrid>
      <w:tr>
        <w:trPr>
          <w:trHeight w:val="44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>Unidad de Aprendizaje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Síntesis por vía húmeda</w:t>
            </w:r>
          </w:p>
        </w:tc>
      </w:tr>
      <w:tr>
        <w:trPr>
          <w:trHeight w:val="42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color w:val="FFFFFF"/>
              </w:rPr>
              <w:t xml:space="preserve">Propósito esperado </w:t>
            </w:r>
          </w:p>
        </w:tc>
        <w:tc>
          <w:tcPr>
            <w:tcW w:w="102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El estudiante sintetizará nanomateriales para identificar las etapas y determinar los parámetros del proceso por vía húmeda.</w:t>
            </w:r>
          </w:p>
        </w:tc>
      </w:tr>
      <w:tr>
        <w:trPr>
          <w:trHeight w:val="735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Tiempo Asignado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 xml:space="preserve">Horas del Saber 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24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color w:val="FFFFFF"/>
              </w:rPr>
            </w:pPr>
            <w:r>
              <w:rPr>
                <w:b/>
                <w:color w:val="FFFFFF"/>
              </w:rPr>
              <w:t>Horas del Saber Hacer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36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Horas Totales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60</w:t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0"/>
        <w:tblW w:w="12510" w:type="dxa"/>
        <w:jc w:val="left"/>
        <w:tblInd w:w="-7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609"/>
        <w:gridCol w:w="3826"/>
        <w:gridCol w:w="3375"/>
        <w:gridCol w:w="2699"/>
      </w:tblGrid>
      <w:tr>
        <w:trPr>
          <w:trHeight w:val="81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Temas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Conceptual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Saber Hacer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Actuacional</w:t>
            </w:r>
          </w:p>
        </w:tc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lineRule="auto" w:line="259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Ser y Convivir</w:t>
            </w:r>
          </w:p>
          <w:p>
            <w:pPr>
              <w:pStyle w:val="Normal1"/>
              <w:widowControl w:val="false"/>
              <w:spacing w:lineRule="auto" w:line="259"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Dimensión Socioafectiva</w:t>
            </w:r>
          </w:p>
        </w:tc>
      </w:tr>
      <w:tr>
        <w:trPr>
          <w:trHeight w:val="44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Introducción a medios y parámetros de vía húmeda.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Identificar las condiciones de trabajo y los parámetros en síntesis de vía húmeda.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Asumir la responsabilidad y honestidad para realizar actividades en forma individual y en equipo en forma proactiva.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Demostrar la capacidad de manejar y resolver conflictos de manera independiente, promoviendo un ambiente de respeto y colaboración.</w:t>
            </w:r>
          </w:p>
          <w:p>
            <w:pPr>
              <w:pStyle w:val="Normal1"/>
              <w:widowControl w:val="false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Coagulación y floculación.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Describir el concepto de coagulación y floculación.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Identificar los reactivos coagulantes y floculantes.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Explicar el proceso de nucleación y crecimiento de partículas en solución.</w:t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Determinar las propiedades de los materiales que favorecen la coagulación y floculación.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Métodos de síntesis por vía húmeda.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Explicar las técnicas de síntesis de materiales por vía húmeda: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-Sol-gel.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-Coloidal (Depósito de coloides, obtención de soles),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-Reducción química, 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 xml:space="preserve">-Solvotermal, 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-Sonoquímica,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-Microondas,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-Electroquímica,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-Polimerización de dendrímeros.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3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Verificar las condiciones y parámetros del método de síntesis.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Sintetizar materiales por métodos de vía húmeda.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269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tbl>
      <w:tblPr>
        <w:tblStyle w:val="Table11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280"/>
        <w:gridCol w:w="4290"/>
        <w:gridCol w:w="2100"/>
        <w:gridCol w:w="839"/>
      </w:tblGrid>
      <w:tr>
        <w:trPr>
          <w:trHeight w:val="404" w:hRule="atLeast"/>
        </w:trPr>
        <w:tc>
          <w:tcPr>
            <w:tcW w:w="125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Enseñanza-Aprendizaje</w:t>
            </w:r>
          </w:p>
        </w:tc>
      </w:tr>
      <w:tr>
        <w:trPr>
          <w:trHeight w:val="192" w:hRule="atLeast"/>
        </w:trPr>
        <w:tc>
          <w:tcPr>
            <w:tcW w:w="5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Métodos y técnicas de enseñanza</w:t>
            </w:r>
          </w:p>
        </w:tc>
        <w:tc>
          <w:tcPr>
            <w:tcW w:w="4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Medios y materiales didácticos</w:t>
            </w:r>
          </w:p>
        </w:tc>
        <w:tc>
          <w:tcPr>
            <w:tcW w:w="2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Espacio Formativo</w:t>
            </w:r>
          </w:p>
        </w:tc>
      </w:tr>
      <w:tr>
        <w:trPr>
          <w:trHeight w:val="285" w:hRule="atLeast"/>
        </w:trPr>
        <w:tc>
          <w:tcPr>
            <w:tcW w:w="52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429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color w:val="FFFFFF"/>
              </w:rPr>
            </w:pPr>
            <w:r>
              <w:rPr>
                <w:color w:val="FFFFFF"/>
              </w:rPr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Aula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  <w:tr>
        <w:trPr>
          <w:trHeight w:val="360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Tareas de Investigación.</w:t>
            </w:r>
          </w:p>
          <w:p>
            <w:pPr>
              <w:pStyle w:val="Normal1"/>
              <w:widowControl w:val="false"/>
              <w:rPr/>
            </w:pPr>
            <w:r>
              <w:rPr/>
              <w:t>Equipos colaborativos.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  <w:t>Prácticas de laboratorio.</w:t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/>
            </w:pPr>
            <w:r>
              <w:rPr/>
              <w:t>Material y equipo audiovisual: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>
              <w:rPr/>
              <w:t>Tesis.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>
              <w:rPr/>
              <w:t>Artículos.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>
              <w:rPr/>
              <w:t>Internet.</w:t>
            </w:r>
          </w:p>
          <w:p>
            <w:pPr>
              <w:pStyle w:val="Normal1"/>
              <w:widowControl w:val="false"/>
              <w:rPr/>
            </w:pPr>
            <w:r>
              <w:rPr/>
              <w:t>Laboratorio de química: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>
              <w:rPr/>
              <w:t>Vidriería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>
              <w:rPr/>
              <w:t>Mortero.</w:t>
            </w:r>
          </w:p>
          <w:p>
            <w:pPr>
              <w:pStyle w:val="Normal1"/>
              <w:widowControl w:val="false"/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>
              <w:rPr/>
              <w:t>Reactivos.</w:t>
            </w:r>
          </w:p>
          <w:p>
            <w:pPr>
              <w:pStyle w:val="Normal1"/>
              <w:widowControl w:val="false"/>
              <w:rPr/>
            </w:pPr>
            <w:r>
              <w:rPr/>
              <w:t xml:space="preserve"> </w:t>
            </w:r>
            <w:r>
              <w:rPr/>
              <w:t>Equipo básico: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Balanza analítica.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Molino/mezclador.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Tamiz.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Cámara de vacío.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Digestor de microondas.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Procesador ultrasónico.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Rotaevaporador.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Reactor Batch.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Plancha de calentamiento con agitación magnética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ind w:left="720" w:hanging="360"/>
              <w:rPr>
                <w:u w:val="none"/>
              </w:rPr>
            </w:pPr>
            <w:r>
              <w:rPr/>
              <w:t>Electrospray</w:t>
            </w:r>
          </w:p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Laboratorio / Taller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/>
            </w:pPr>
            <w:r>
              <w:rPr/>
              <w:t>X</w:t>
            </w:r>
          </w:p>
        </w:tc>
      </w:tr>
      <w:tr>
        <w:trPr>
          <w:trHeight w:val="388" w:hRule="atLeast"/>
        </w:trPr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4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3E7065"/>
              </w:rPr>
            </w:pPr>
            <w:r>
              <w:rPr>
                <w:b/>
                <w:color w:val="3E7065"/>
              </w:rPr>
              <w:t>Empresa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spacing w:before="0" w:after="160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tbl>
      <w:tblPr>
        <w:tblStyle w:val="Table12"/>
        <w:tblW w:w="12510" w:type="dxa"/>
        <w:jc w:val="left"/>
        <w:tblInd w:w="-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5040"/>
        <w:gridCol w:w="4079"/>
        <w:gridCol w:w="3391"/>
      </w:tblGrid>
      <w:tr>
        <w:trPr>
          <w:trHeight w:val="237" w:hRule="atLeast"/>
        </w:trPr>
        <w:tc>
          <w:tcPr>
            <w:tcW w:w="125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Proceso de Evaluación</w:t>
            </w:r>
          </w:p>
        </w:tc>
      </w:tr>
      <w:tr>
        <w:trPr>
          <w:trHeight w:val="274" w:hRule="atLeast"/>
        </w:trPr>
        <w:tc>
          <w:tcPr>
            <w:tcW w:w="50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Resultado de Aprendizaje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Evidencia de Aprendizaje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Instrumentos de evaluación</w:t>
            </w:r>
          </w:p>
        </w:tc>
      </w:tr>
      <w:tr>
        <w:trPr>
          <w:trHeight w:val="360" w:hRule="atLeast"/>
        </w:trPr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a) Los estudiantes justifican los métodos empleados.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b) Los estudiantes determinan la cantidad de materiales y reactivos de inicio utilizados en el proceso, así como, el equipo utilizado.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/>
              <w:t>c) Los estudiantes registran las condiciones y parámetros en el proceso de la síntesis.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/>
              <w:t>A partir de un caso práctico sintetizar  un material nanoestructurado por un método de vía húmeda y documentar en un reporte técnico el proceso.</w:t>
            </w:r>
          </w:p>
        </w:tc>
        <w:tc>
          <w:tcPr>
            <w:tcW w:w="33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Reporte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  <w:t>Rúbrica</w:t>
            </w:r>
          </w:p>
        </w:tc>
      </w:tr>
    </w:tbl>
    <w:p>
      <w:pPr>
        <w:pStyle w:val="Normal1"/>
        <w:rPr>
          <w:b/>
          <w:b/>
          <w:color w:val="000000"/>
        </w:rPr>
      </w:pPr>
      <w:r>
        <w:rPr>
          <w:b/>
          <w:color w:val="000000"/>
        </w:rPr>
        <w:t xml:space="preserve"> </w:t>
      </w:r>
    </w:p>
    <w:tbl>
      <w:tblPr>
        <w:tblStyle w:val="Table13"/>
        <w:tblW w:w="12525" w:type="dxa"/>
        <w:jc w:val="left"/>
        <w:tblInd w:w="-3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169"/>
        <w:gridCol w:w="4141"/>
        <w:gridCol w:w="4215"/>
      </w:tblGrid>
      <w:tr>
        <w:trPr/>
        <w:tc>
          <w:tcPr>
            <w:tcW w:w="1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Perfil idóneo del docente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académica</w:t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Formación Pedagógica</w:t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Experiencia Profesional</w:t>
            </w:r>
          </w:p>
        </w:tc>
      </w:tr>
      <w:tr>
        <w:trPr/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Licenciatura, ingeniería o maestría en ciencia de materiales.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Licenciatura, ingeniería o maestría en química.</w:t>
            </w:r>
          </w:p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/>
              <w:t>Licenciatura, ingeniería o maestría en nanotecnología.</w:t>
            </w:r>
          </w:p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Manejo de grupo.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Manejo de TIC´s.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Manejo de herramientas socioemocionales.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Conocimiento de herramientas en el proceso de enseñanza-aprendizaje.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1"/>
              <w:widowControl w:val="false"/>
              <w:jc w:val="both"/>
              <w:rPr/>
            </w:pPr>
            <w:r>
              <w:rPr/>
              <w:t>Experiencia como ingeniero en laboratorio químico.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Experiencia en investigación y desarrollo de nanomateriales.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Cursos de ciencia y/o ingeniería de materiales.</w:t>
            </w:r>
          </w:p>
          <w:p>
            <w:pPr>
              <w:pStyle w:val="Normal1"/>
              <w:widowControl w:val="false"/>
              <w:jc w:val="both"/>
              <w:rPr/>
            </w:pPr>
            <w:r>
              <w:rPr/>
              <w:t>Experiencia como docente.</w:t>
            </w:r>
          </w:p>
          <w:p>
            <w:pPr>
              <w:pStyle w:val="Normal1"/>
              <w:widowControl w:val="false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1"/>
        <w:spacing w:lineRule="auto" w:line="240" w:before="0" w:after="0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p>
      <w:pPr>
        <w:pStyle w:val="Normal1"/>
        <w:rPr>
          <w:b/>
          <w:b/>
        </w:rPr>
      </w:pPr>
      <w:r>
        <w:rPr>
          <w:b/>
        </w:rPr>
      </w:r>
    </w:p>
    <w:tbl>
      <w:tblPr>
        <w:tblStyle w:val="Table14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2355"/>
        <w:gridCol w:w="2355"/>
        <w:gridCol w:w="2355"/>
        <w:gridCol w:w="1995"/>
        <w:gridCol w:w="1799"/>
        <w:gridCol w:w="1680"/>
      </w:tblGrid>
      <w:tr>
        <w:trPr>
          <w:trHeight w:val="282" w:hRule="atLeast"/>
        </w:trPr>
        <w:tc>
          <w:tcPr>
            <w:tcW w:w="12539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bibliográficas</w:t>
            </w:r>
          </w:p>
        </w:tc>
      </w:tr>
      <w:tr>
        <w:trPr>
          <w:trHeight w:val="274" w:hRule="atLeast"/>
        </w:trPr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Año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Lugar de publicación</w:t>
            </w:r>
          </w:p>
        </w:tc>
        <w:tc>
          <w:tcPr>
            <w:tcW w:w="179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Editorial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ISBN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</w:rPr>
            </w:pPr>
            <w:r>
              <w:rPr>
                <w:b/>
              </w:rPr>
              <w:t>Chandra Mohan, Amit      Kumar Rawat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Química Orgánica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España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Nuestro Conocimiento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978-6206990406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</w:rPr>
            </w:pPr>
            <w:r>
              <w:rPr>
                <w:b/>
              </w:rPr>
              <w:t>Askeland Wendelin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Ciencia e Ingeniería de Materiales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México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Cengage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978-6075700366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</w:rPr>
            </w:pPr>
            <w:r>
              <w:rPr>
                <w:b/>
              </w:rPr>
              <w:t>Francisco Recio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Química Inorgánica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</w:rPr>
              <w:t>México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Mc Graw-Hill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978-6071514851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</w:rPr>
            </w:pPr>
            <w:r>
              <w:rPr>
                <w:b/>
              </w:rPr>
              <w:t>Williams Smith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Fundamentos de la Ciencia e Ingeniería de Materiales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rFonts w:ascii="Arial" w:hAnsi="Arial" w:eastAsia="Arial" w:cs="Arial"/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México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both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</w:rPr>
              <w:t>Mc Graw-Hill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978-6071520241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Francisco Javier Gonzalez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2021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Introducción a la nanotecnología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Independently Published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both"/>
              <w:rPr>
                <w:b/>
                <w:b/>
              </w:rPr>
            </w:pPr>
            <w:r>
              <w:rPr>
                <w:b/>
              </w:rPr>
              <w:t>979-8708213815</w:t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Pourya Zarshenas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Nanociencia y Nanotecnología: La puerta de entrada al nuevo milenio de las balanzas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España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Ediciones Nuestro Conocimiento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978-6204504292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Helen Merina,  C Alosious Gonzago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Nanotecnologia: Sintesis, Caracterizaciones y Aplicaciones Fisico Quimicas y Ecologicas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España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Ediciones Nuestro Conocimiento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978-6206472162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Jorge E. Silva Yumi Carlos A. Medina S.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Materiales y nanomateriales Principios, aplicaciones  y tecnicas de caracterizacion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Ecuador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Dirección de publicaciones científicas ESPOCH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978-9942-550-8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Suvardhan Kanchi and</w:t>
            </w:r>
          </w:p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Shakeel Ahmed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2018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Green Metal Nanoparticles:</w:t>
            </w:r>
            <w:r>
              <w:rPr>
                <w:b/>
              </w:rPr>
              <w:t xml:space="preserve"> </w:t>
            </w:r>
            <w:r>
              <w:rPr>
                <w:rFonts w:eastAsia="Arial" w:cs="Arial" w:ascii="Arial" w:hAnsi="Arial"/>
                <w:b/>
                <w:i/>
              </w:rPr>
              <w:t>Synthesis, Characterization and Their Applications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WILEY - SCRIVER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978-1119418238</w:t>
            </w:r>
          </w:p>
        </w:tc>
      </w:tr>
      <w:tr>
        <w:trPr>
          <w:trHeight w:val="405" w:hRule="atLeast"/>
        </w:trPr>
        <w:tc>
          <w:tcPr>
            <w:tcW w:w="23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Guozhong Cao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jc w:val="center"/>
              <w:rPr>
                <w:b/>
                <w:b/>
              </w:rPr>
            </w:pPr>
            <w:r>
              <w:rPr>
                <w:b/>
              </w:rPr>
              <w:t>2010</w:t>
            </w:r>
          </w:p>
        </w:tc>
        <w:tc>
          <w:tcPr>
            <w:tcW w:w="2355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rFonts w:ascii="Arial" w:hAnsi="Arial" w:eastAsia="Arial" w:cs="Arial"/>
                <w:b/>
                <w:b/>
                <w:i/>
                <w:i/>
              </w:rPr>
            </w:pPr>
            <w:r>
              <w:rPr>
                <w:rFonts w:eastAsia="Arial" w:cs="Arial" w:ascii="Arial" w:hAnsi="Arial"/>
                <w:b/>
                <w:i/>
              </w:rPr>
              <w:t>Nanostructures &amp; nanomaterials: synthesis, properties &amp; applications</w:t>
            </w:r>
          </w:p>
        </w:tc>
        <w:tc>
          <w:tcPr>
            <w:tcW w:w="19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b/>
              </w:rPr>
              <w:t>USA</w:t>
            </w:r>
          </w:p>
        </w:tc>
        <w:tc>
          <w:tcPr>
            <w:tcW w:w="1799" w:type="dxa"/>
            <w:tcBorders>
              <w:bottom w:val="single" w:sz="4" w:space="0" w:color="000000"/>
              <w:right w:val="single" w:sz="4" w:space="0" w:color="000000"/>
            </w:tcBorders>
            <w:tcMar>
              <w:left w:w="100" w:type="dxa"/>
              <w:right w:w="100" w:type="dxa"/>
            </w:tcMar>
          </w:tcPr>
          <w:p>
            <w:pPr>
              <w:pStyle w:val="Normal1"/>
              <w:widowControl w:val="false"/>
              <w:spacing w:lineRule="auto" w:line="240" w:before="240" w:after="240"/>
              <w:rPr>
                <w:b/>
                <w:b/>
              </w:rPr>
            </w:pPr>
            <w:r>
              <w:rPr>
                <w:rFonts w:eastAsia="Arial" w:cs="Arial" w:ascii="Arial" w:hAnsi="Arial"/>
                <w:b/>
                <w:sz w:val="18"/>
                <w:szCs w:val="18"/>
              </w:rPr>
              <w:t>WORLD SCIENTIFIC PUBLISHING COMPANY</w:t>
            </w:r>
          </w:p>
        </w:tc>
        <w:tc>
          <w:tcPr>
            <w:tcW w:w="1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r>
              <w:rPr>
                <w:b/>
              </w:rPr>
              <w:t>978-9814324557</w:t>
            </w:r>
          </w:p>
        </w:tc>
      </w:tr>
    </w:tbl>
    <w:p>
      <w:pPr>
        <w:pStyle w:val="Normal1"/>
        <w:rPr>
          <w:b/>
          <w:b/>
        </w:rPr>
      </w:pPr>
      <w:r>
        <w:rPr>
          <w:b/>
        </w:rPr>
        <w:t xml:space="preserve"> </w:t>
      </w:r>
    </w:p>
    <w:tbl>
      <w:tblPr>
        <w:tblStyle w:val="Table15"/>
        <w:tblW w:w="12540" w:type="dxa"/>
        <w:jc w:val="left"/>
        <w:tblInd w:w="-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1980"/>
        <w:gridCol w:w="2400"/>
        <w:gridCol w:w="4469"/>
        <w:gridCol w:w="3690"/>
      </w:tblGrid>
      <w:tr>
        <w:trPr>
          <w:trHeight w:val="282" w:hRule="atLeast"/>
        </w:trPr>
        <w:tc>
          <w:tcPr>
            <w:tcW w:w="12539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3E7065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  <w:color w:val="FFFFFF"/>
              </w:rPr>
            </w:pPr>
            <w:r>
              <w:rPr>
                <w:b/>
                <w:color w:val="FFFFFF"/>
              </w:rPr>
              <w:t>Referencias digitales</w:t>
            </w:r>
          </w:p>
        </w:tc>
      </w:tr>
      <w:tr>
        <w:trPr>
          <w:trHeight w:val="274" w:hRule="atLeast"/>
        </w:trPr>
        <w:tc>
          <w:tcPr>
            <w:tcW w:w="198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Autor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Fecha de recuperación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Título del documento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434343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color w:val="FFFFFF"/>
              </w:rPr>
            </w:pPr>
            <w:r>
              <w:rPr>
                <w:color w:val="FFFFFF"/>
              </w:rPr>
              <w:t>Vínculo</w:t>
            </w:r>
          </w:p>
        </w:tc>
      </w:tr>
      <w:tr>
        <w:trPr>
          <w:trHeight w:val="360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Rodolfo Zanella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10 Abril 2024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  <w:t>Metodologías para la síntesis de nanopartículas: controlando forma y tamaño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hyperlink r:id="rId4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https://www.scielo.org.mx/pdf/mn/v5n1/2448-5691-mn-5-01-69.pdf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  <w:color w:val="1F1F1F"/>
                <w:sz w:val="24"/>
                <w:szCs w:val="24"/>
              </w:rPr>
              <w:t>Deepshikha Gupta, Anuj Boora, Amisha Thakur, Tejendra K Gupta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10 Abril 2024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1F1F1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id="6" w:name="_heading=h.yna687z3dkyl"/>
            <w:bookmarkEnd w:id="6"/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1F1F1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Green and sustainable synthesis of nanomaterials: Recent advancements and limitations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jc w:val="both"/>
              <w:rPr/>
            </w:pPr>
            <w:hyperlink r:id="rId5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https://www.sciencedirect.com/science/article/abs/pii/S00139351230</w:t>
              </w:r>
            </w:hyperlink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</w:rPr>
            </w:pPr>
            <w:hyperlink r:id="rId6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11209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Vijayaram, Razafindralambo</w:t>
            </w:r>
          </w:p>
          <w:p>
            <w:pPr>
              <w:pStyle w:val="Normal1"/>
              <w:widowControl w:val="false"/>
              <w:rPr>
                <w:b/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Sun, Vasantharaj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Ghafarifarsani, Hoseinifar Raeeszadeh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11 Abril 2024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1F1F1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1F1F1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Applications of Green Synthesized Metal Nanoparticles-a review</w:t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  <w:highlight w:val="white"/>
              </w:rPr>
            </w:pPr>
            <w:hyperlink r:id="rId7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https://link.springer.com/article/10.1007/S12011-023-03645-9</w:t>
              </w:r>
            </w:hyperlink>
          </w:p>
        </w:tc>
      </w:tr>
      <w:tr>
        <w:trPr>
          <w:trHeight w:val="405" w:hRule="atLeast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rPr>
                <w:b/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</w:r>
          </w:p>
          <w:p>
            <w:pPr>
              <w:pStyle w:val="Normal1"/>
              <w:widowControl w:val="false"/>
              <w:rPr>
                <w:b/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Bawoke Makuye</w:t>
            </w:r>
          </w:p>
          <w:p>
            <w:pPr>
              <w:pStyle w:val="Normal1"/>
              <w:widowControl w:val="false"/>
              <w:spacing w:before="0" w:after="160"/>
              <w:rPr>
                <w:b/>
                <w:b/>
                <w:color w:val="1F1F1F"/>
                <w:sz w:val="24"/>
                <w:szCs w:val="24"/>
              </w:rPr>
            </w:pPr>
            <w:r>
              <w:rPr>
                <w:b/>
                <w:color w:val="1F1F1F"/>
                <w:sz w:val="24"/>
                <w:szCs w:val="24"/>
              </w:rPr>
              <w:t>Birhanu Abera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1"/>
              <w:widowControl w:val="false"/>
              <w:spacing w:before="0" w:after="160"/>
              <w:jc w:val="center"/>
              <w:rPr>
                <w:b/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4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1"/>
              <w:keepNext w:val="false"/>
              <w:keepLines w:val="false"/>
              <w:widowControl w:val="false"/>
              <w:pBdr/>
              <w:shd w:val="clear" w:fill="FFFFFF"/>
              <w:spacing w:lineRule="auto" w:line="259" w:before="480" w:after="12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1C1D1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id="7" w:name="_heading=h.alqgr5lf9h4f"/>
            <w:bookmarkEnd w:id="7"/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1C1D1E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Nanomaterials: An overview of synthesis, classification, characterization, and applications</w:t>
            </w:r>
          </w:p>
          <w:p>
            <w:pPr>
              <w:pStyle w:val="Normal1"/>
              <w:keepNext w:val="false"/>
              <w:keepLines w:val="false"/>
              <w:widowControl w:val="false"/>
              <w:pBdr/>
              <w:shd w:val="clear" w:fill="auto"/>
              <w:spacing w:lineRule="auto" w:line="259" w:before="240" w:after="240"/>
              <w:ind w:left="0" w:right="0" w:hanging="0"/>
              <w:jc w:val="left"/>
              <w:rPr>
                <w:rFonts w:ascii="Calibri" w:hAnsi="Calibri" w:eastAsia="Calibri" w:cs="Calibri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1F1F1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alibri" w:cs="Calibri"/>
                <w:b/>
                <w:i w:val="false"/>
                <w:caps w:val="false"/>
                <w:smallCaps w:val="false"/>
                <w:strike w:val="false"/>
                <w:dstrike w:val="false"/>
                <w:color w:val="1F1F1F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  <w:tc>
          <w:tcPr>
            <w:tcW w:w="36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1"/>
              <w:widowControl w:val="false"/>
              <w:spacing w:lineRule="auto" w:line="240" w:before="180" w:after="160"/>
              <w:ind w:left="0" w:right="240" w:hanging="0"/>
              <w:jc w:val="both"/>
              <w:rPr>
                <w:b/>
                <w:b/>
                <w:color w:val="1155CC"/>
                <w:sz w:val="24"/>
                <w:szCs w:val="24"/>
                <w:highlight w:val="white"/>
                <w:u w:val="single"/>
              </w:rPr>
            </w:pPr>
            <w:hyperlink r:id="rId8">
              <w:r>
                <w:rPr>
                  <w:b/>
                  <w:color w:val="1155CC"/>
                  <w:sz w:val="24"/>
                  <w:szCs w:val="24"/>
                  <w:highlight w:val="white"/>
                  <w:u w:val="single"/>
                </w:rPr>
                <w:t>https://onlinelibrary.wiley.com/doi/full/10.1002/nano.202300038</w:t>
              </w:r>
            </w:hyperlink>
          </w:p>
          <w:p>
            <w:pPr>
              <w:pStyle w:val="Normal1"/>
              <w:widowControl w:val="false"/>
              <w:spacing w:lineRule="auto" w:line="240" w:before="180" w:after="160"/>
              <w:ind w:left="780" w:right="240" w:hanging="0"/>
              <w:jc w:val="both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  <w:p>
            <w:pPr>
              <w:pStyle w:val="Normal1"/>
              <w:widowControl w:val="false"/>
              <w:spacing w:before="0" w:after="160"/>
              <w:jc w:val="both"/>
              <w:rPr>
                <w:b/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  <w:highlight w:val="white"/>
              </w:rPr>
            </w:r>
          </w:p>
        </w:tc>
      </w:tr>
    </w:tbl>
    <w:p>
      <w:pPr>
        <w:pStyle w:val="Normal1"/>
        <w:spacing w:before="0" w:after="160"/>
        <w:rPr>
          <w:b/>
          <w:b/>
          <w:color w:val="000000"/>
        </w:rPr>
      </w:pPr>
      <w:r>
        <w:rPr/>
      </w:r>
    </w:p>
    <w:sectPr>
      <w:headerReference w:type="even" r:id="rId9"/>
      <w:headerReference w:type="default" r:id="rId10"/>
      <w:headerReference w:type="first" r:id="rId11"/>
      <w:footerReference w:type="even" r:id="rId12"/>
      <w:footerReference w:type="default" r:id="rId13"/>
      <w:footerReference w:type="first" r:id="rId14"/>
      <w:type w:val="nextPage"/>
      <w:pgSz w:orient="landscape" w:w="15840" w:h="12240"/>
      <w:pgMar w:left="1701" w:right="1701" w:gutter="0" w:header="709" w:top="1021" w:footer="709" w:bottom="851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URW Gothic">
    <w:charset w:val="01"/>
    <w:family w:val="swiss"/>
    <w:pitch w:val="default"/>
  </w:font>
  <w:font w:name="Georgia">
    <w:charset w:val="01"/>
    <w:family w:val="swiss"/>
    <w:pitch w:val="default"/>
  </w:font>
  <w:font w:name="Arial">
    <w:charset w:val="01"/>
    <w:family w:val="swiss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16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8" w:name="_heading=h.1fob9te3"/>
          <w:bookmarkEnd w:id="8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16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9" w:name="_heading=h.1fob9te"/>
          <w:bookmarkEnd w:id="9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  <w:tbl>
    <w:tblPr>
      <w:tblStyle w:val="Table16"/>
      <w:tblW w:w="12328" w:type="dxa"/>
      <w:jc w:val="center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000"/>
    </w:tblPr>
    <w:tblGrid>
      <w:gridCol w:w="1271"/>
      <w:gridCol w:w="3826"/>
      <w:gridCol w:w="2128"/>
      <w:gridCol w:w="3259"/>
      <w:gridCol w:w="1844"/>
    </w:tblGrid>
    <w:tr>
      <w:trPr>
        <w:trHeight w:val="416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bookmarkStart w:id="10" w:name="_heading=h.1fob9te"/>
          <w:bookmarkEnd w:id="10"/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ELABORÓ: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GRUPO DE TRABAJO DE LA LICENCIATURA EN INGENIERÍA EN NANOTECNOLOGÍA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REVISÓ: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DIRECCIÓN ACADÉMICA</w:t>
          </w:r>
        </w:p>
      </w:tc>
      <w:tc>
        <w:tcPr>
          <w:tcW w:w="1844" w:type="dxa"/>
          <w:vMerge w:val="restart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jc w:val="center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F-DA-01-AS-LIC-01</w:t>
          </w:r>
        </w:p>
      </w:tc>
    </w:tr>
    <w:tr>
      <w:trPr>
        <w:trHeight w:val="413" w:hRule="atLeast"/>
      </w:trPr>
      <w:tc>
        <w:tcPr>
          <w:tcW w:w="1271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APROBÓ:</w:t>
          </w:r>
        </w:p>
      </w:tc>
      <w:tc>
        <w:tcPr>
          <w:tcW w:w="3826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b/>
              <w:b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DGUTyP</w:t>
          </w:r>
        </w:p>
      </w:tc>
      <w:tc>
        <w:tcPr>
          <w:tcW w:w="2128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b/>
              <w:color w:val="632423"/>
              <w:sz w:val="16"/>
              <w:szCs w:val="16"/>
            </w:rPr>
            <w:t>VIGENTE A PARTIR DE:</w:t>
          </w:r>
        </w:p>
      </w:tc>
      <w:tc>
        <w:tcPr>
          <w:tcW w:w="3259" w:type="dxa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widowControl w:val="false"/>
            <w:spacing w:before="0" w:after="160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  <w:t>SEPTIEMBRE DE 2024</w:t>
          </w:r>
        </w:p>
      </w:tc>
      <w:tc>
        <w:tcPr>
          <w:tcW w:w="1844" w:type="dxa"/>
          <w:vMerge w:val="continue"/>
          <w:tc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</w:tcBorders>
          <w:vAlign w:val="center"/>
        </w:tcPr>
        <w:p>
          <w:pPr>
            <w:pStyle w:val="Normal1"/>
            <w:keepNext w:val="false"/>
            <w:keepLines w:val="false"/>
            <w:widowControl w:val="false"/>
            <w:pBdr/>
            <w:shd w:val="clear" w:fill="auto"/>
            <w:spacing w:lineRule="auto" w:line="276" w:before="0" w:after="0"/>
            <w:ind w:left="0" w:right="0" w:hanging="0"/>
            <w:jc w:val="left"/>
            <w:rPr>
              <w:rFonts w:ascii="Arial" w:hAnsi="Arial" w:eastAsia="Arial" w:cs="Arial"/>
              <w:color w:val="632423"/>
              <w:sz w:val="16"/>
              <w:szCs w:val="16"/>
            </w:rPr>
          </w:pPr>
          <w:r>
            <w:rPr>
              <w:rFonts w:eastAsia="Arial" w:cs="Arial" w:ascii="Arial" w:hAnsi="Arial"/>
              <w:color w:val="632423"/>
              <w:sz w:val="16"/>
              <w:szCs w:val="16"/>
            </w:rPr>
          </w:r>
        </w:p>
      </w:tc>
    </w:tr>
  </w:tbl>
  <w:p>
    <w:pPr>
      <w:pStyle w:val="Normal1"/>
      <w:widowControl w:val="false"/>
      <w:pBdr/>
      <w:spacing w:lineRule="auto" w:line="276" w:before="0" w:after="0"/>
      <w:rPr>
        <w:rFonts w:ascii="Arial" w:hAnsi="Arial" w:eastAsia="Arial" w:cs="Arial"/>
        <w:b/>
        <w:b/>
        <w:color w:val="000000"/>
        <w:sz w:val="20"/>
        <w:szCs w:val="20"/>
      </w:rPr>
    </w:pPr>
    <w:r>
      <w:rPr>
        <w:rFonts w:eastAsia="Arial" w:cs="Arial" w:ascii="Arial" w:hAnsi="Arial"/>
        <w:b/>
        <w:color w:val="000000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b/>
        <w:b/>
      </w:rPr>
    </w:pPr>
    <w:r>
      <w:rPr>
        <w:b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>
        <w:rFonts w:ascii="Calibri" w:hAnsi="Calibri" w:eastAsia="Calibri" w:cs="Calibri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b/>
        <w:b/>
      </w:rPr>
    </w:pPr>
    <w:r>
      <w:rPr>
        <w:b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rPr>
        <w:b/>
        <w:b/>
      </w:rPr>
    </w:pPr>
    <w:r>
      <w:rPr>
        <w:b/>
      </w:rPr>
    </w:r>
  </w:p>
  <w:p>
    <w:pPr>
      <w:pStyle w:val="Normal1"/>
      <w:keepNext w:val="false"/>
      <w:keepLines w:val="false"/>
      <w:widowControl/>
      <w:pBdr/>
      <w:shd w:val="clear" w:fill="auto"/>
      <w:tabs>
        <w:tab w:val="clear" w:pos="720"/>
        <w:tab w:val="center" w:pos="4419" w:leader="none"/>
        <w:tab w:val="right" w:pos="8838" w:leader="none"/>
      </w:tabs>
      <w:spacing w:lineRule="auto" w:line="240" w:before="0" w:after="0"/>
      <w:ind w:left="0" w:right="0" w:hanging="0"/>
      <w:jc w:val="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es-MX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Heading1">
    <w:name w:val="Heading 1"/>
    <w:basedOn w:val="Normal1"/>
    <w:next w:val="Normal1"/>
    <w:uiPriority w:val="9"/>
    <w:qFormat/>
    <w:pPr>
      <w:keepNext w:val="true"/>
      <w:keepLines/>
      <w:pBdr/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uiPriority w:val="9"/>
    <w:semiHidden/>
    <w:unhideWhenUsed/>
    <w:qFormat/>
    <w:pPr>
      <w:keepNext w:val="true"/>
      <w:keepLines/>
      <w:pBdr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uiPriority w:val="9"/>
    <w:semiHidden/>
    <w:unhideWhenUsed/>
    <w:qFormat/>
    <w:pPr>
      <w:keepNext w:val="true"/>
      <w:keepLines/>
      <w:pBdr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uiPriority w:val="9"/>
    <w:semiHidden/>
    <w:unhideWhenUsed/>
    <w:qFormat/>
    <w:pPr>
      <w:keepNext w:val="true"/>
      <w:keepLines/>
      <w:pBdr/>
      <w:spacing w:before="240" w:after="40"/>
      <w:outlineLvl w:val="3"/>
    </w:pPr>
    <w:rPr>
      <w:b/>
      <w:color w:val="000000"/>
      <w:sz w:val="24"/>
      <w:szCs w:val="24"/>
    </w:rPr>
  </w:style>
  <w:style w:type="paragraph" w:styleId="Heading5">
    <w:name w:val="Heading 5"/>
    <w:basedOn w:val="Normal1"/>
    <w:next w:val="Normal1"/>
    <w:uiPriority w:val="9"/>
    <w:semiHidden/>
    <w:unhideWhenUsed/>
    <w:qFormat/>
    <w:pPr>
      <w:keepNext w:val="true"/>
      <w:keepLines/>
      <w:pBdr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1"/>
    <w:next w:val="Normal1"/>
    <w:uiPriority w:val="9"/>
    <w:semiHidden/>
    <w:unhideWhenUsed/>
    <w:qFormat/>
    <w:pPr>
      <w:keepNext w:val="true"/>
      <w:keepLines/>
      <w:pBdr/>
      <w:spacing w:before="200" w:after="40"/>
      <w:outlineLvl w:val="5"/>
    </w:pPr>
    <w:rPr>
      <w:b/>
      <w:color w:val="000000"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Header"/>
    <w:uiPriority w:val="99"/>
    <w:qFormat/>
    <w:rsid w:val="00bd4c6e"/>
    <w:rPr/>
  </w:style>
  <w:style w:type="character" w:styleId="PiedepginaCar" w:customStyle="1">
    <w:name w:val="Pie de página Car"/>
    <w:basedOn w:val="DefaultParagraphFont"/>
    <w:link w:val="Footer"/>
    <w:uiPriority w:val="99"/>
    <w:qFormat/>
    <w:rsid w:val="00bd4c6e"/>
    <w:rPr/>
  </w:style>
  <w:style w:type="character" w:styleId="InternetLink">
    <w:name w:val="Hyperlink"/>
    <w:rPr>
      <w:color w:val="0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URW Gothic" w:hAnsi="URW Gothic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ascii="URW Gothic" w:hAnsi="URW Gothic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URW Gothic" w:hAnsi="URW Gothic"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ascii="URW Gothic" w:hAnsi="URW Gothic" w:cs="Lohit Devanagari"/>
    </w:rPr>
  </w:style>
  <w:style w:type="paragraph" w:styleId="Normal1" w:default="1">
    <w:name w:val="LO-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es-MX" w:eastAsia="zh-CN" w:bidi="hi-IN"/>
    </w:rPr>
  </w:style>
  <w:style w:type="paragraph" w:styleId="Title">
    <w:name w:val="Title"/>
    <w:basedOn w:val="Normal1"/>
    <w:next w:val="Normal1"/>
    <w:uiPriority w:val="10"/>
    <w:qFormat/>
    <w:pPr>
      <w:keepNext w:val="true"/>
      <w:keepLines/>
      <w:pBdr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uiPriority w:val="11"/>
    <w:qFormat/>
    <w:pPr>
      <w:keepNext w:val="true"/>
      <w:keepLines/>
      <w:pBdr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1"/>
    <w:link w:val="Encabezado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PiedepginaCar"/>
    <w:uiPriority w:val="99"/>
    <w:unhideWhenUsed/>
    <w:rsid w:val="00bd4c6e"/>
    <w:pPr>
      <w:tabs>
        <w:tab w:val="clear" w:pos="720"/>
        <w:tab w:val="center" w:pos="4419" w:leader="none"/>
        <w:tab w:val="right" w:pos="88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yperlink" Target="https://www.scielo.org.mx/pdf/mn/v5n1/2448-5691-mn-5-01-69.pdf" TargetMode="External"/><Relationship Id="rId5" Type="http://schemas.openxmlformats.org/officeDocument/2006/relationships/hyperlink" Target="https://www.sciencedirect.com/science/article/abs/pii/S0013935123011209" TargetMode="External"/><Relationship Id="rId6" Type="http://schemas.openxmlformats.org/officeDocument/2006/relationships/hyperlink" Target="https://www.sciencedirect.com/science/article/abs/pii/S0013935123011209" TargetMode="External"/><Relationship Id="rId7" Type="http://schemas.openxmlformats.org/officeDocument/2006/relationships/hyperlink" Target="https://link.springer.com/article/10.1007/S12011-023-03645-9" TargetMode="External"/><Relationship Id="rId8" Type="http://schemas.openxmlformats.org/officeDocument/2006/relationships/hyperlink" Target="https://onlinelibrary.wiley.com/doi/full/10.1002/nano.202300038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header" Target="header3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oter" Target="footer3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LoC1LWYx5VeTUDV+MwE0h5WB6Gg==">CgMxLjAyDmguODd6d3RzbGJneHp5MgloLjMwajB6bGwyCGguZ2pkZ3hzMg5oLnluYTY4N3ozZGt5bDIOaC5hbHFncjVsZjloNGYyCWguMWZvYjl0ZTgAciExakozNjVqMHdROUIwUU9yak1nenRGZmNfbmRYU2NUWkQ=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LibreOffice/7.3.7.2$Linux_X86_64 LibreOffice_project/30$Build-2</Application>
  <AppVersion>15.0000</AppVersion>
  <Pages>15</Pages>
  <Words>1290</Words>
  <Characters>8481</Characters>
  <CharactersWithSpaces>9485</CharactersWithSpaces>
  <Paragraphs>320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2024-01-25T19:12:00Z</dcterms:created>
  <dc:creator>Fabiola Aquino Caballero</dc:creator>
  <dc:description/>
  <dc:language>en-US</dc:language>
  <cp:lastModifiedBy/>
  <dcterms:modified xsi:type="dcterms:W3CDTF">2024-07-04T12:04:59Z</dcterms:modified>
  <cp:revision>1</cp:revision>
  <dc:subject/>
  <dc:title/>
</cp:coreProperties>
</file>