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TÉCNICO SUPERIOR UNIVERSITARIO EN NANOTECNOLOGÍA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QUÍMICA GENERAL                                                                CLAVE: 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Calibri" w:cs="Calibri"/>
              </w:rPr>
              <w:t>El estudiante interpretará fenómenos químicos con base en las leyes, teorías y técnicas de la química para contribuir al desarrollo de los procesos industriales.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Calibri" w:cs="Calibri"/>
              </w:rPr>
              <w:t>Plantear y solucionar problemas con base en los principios y teorías de física, química y matemáticas, a través del método científico para sustentar la toma de decisiones en los ámbitos científico y tecnológico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Primero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5.625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1.- Principios básicos de Química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2.-Nomenclatura de compuestos químicos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3.-Reacciones químicas y estequiometría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4.-Soluciones y cinética química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La presente asignatura contribuye al logro de la competencia y los niveles de desagregación descritos a continuación:</w:t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1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  <w:b/>
        </w:rPr>
        <w:t xml:space="preserve">COMPETENCIA: </w:t>
      </w:r>
      <w:r>
        <w:rPr>
          <w:rFonts w:eastAsia="Calibri" w:cs="Calibri"/>
        </w:rPr>
        <w:t>Plantear y solucionar problemas con base en los principios y teorías de física, química y matemáticas, a través del método científico para sustentar la toma de decisiones en los ámbitos científico y tecnológico.</w:t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rFonts w:eastAsia="Calibri" w:cs="Calibri"/>
              </w:rPr>
              <w:t>Representar fenómenos físicos y químicos mediante la observación de sus elementos y condiciones con base en los principios y teorías, para plantear problemas y generar una propuesta de solución.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Elabora un registro del estado inicial de un fenómeno físico y químico que contenga: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Elementos 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Condiciones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Notación científica.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Variables y constantes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pBdr/>
              <w:spacing w:lineRule="auto" w:line="259" w:before="0" w:after="160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Sistema de unidades de medida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ind w:left="72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Plantear problemas relacionados con fenómenos físicos y químicos mediante el análisis de la interacción de sus elementos y condiciones, con base en los principios y teorías para generar una propuesta de solución.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Representa gráfica y analíticamente una relación entre variables físicas y químicas de un fenómeno que contenga: 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Elementos y condiciones iniciales y finales.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F</w:t>
            </w:r>
            <w:r>
              <w:rPr>
                <w:rFonts w:eastAsia="Calibri" w:cs="Calibri"/>
              </w:rPr>
              <w:t>ó</w:t>
            </w:r>
            <w:r>
              <w:rPr>
                <w:rFonts w:eastAsia="Calibri" w:cs="Calibri"/>
                <w:color w:val="000000"/>
              </w:rPr>
              <w:t>rmulas, expresiones físicas y químicas.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Esquema y gráfica del fenómeno.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pBdr/>
              <w:spacing w:lineRule="auto" w:line="259" w:before="0" w:after="160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Planteamiento de hipótesis y justificación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rFonts w:eastAsia="Calibri" w:cs="Calibri"/>
                <w:color w:val="000000"/>
              </w:rPr>
              <w:t>Validar la solución a problemas físicos y químicos mediante los métodos analítico, experimental y numérico, así como la interpretación, análisis y discusión de resultados, con base en los principios y teorías de la física y química para contribuir a la optimización de los recursos de los sistemas productivos.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métodos analíticos y experimentales con base en los principios y teorías de la física y la química, la selección y aplicación de la metodología para obtener resultados que permitan validar la hipótesis.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 un método de comprobación de la hipótesis, que incluya: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numPr>
                <w:ilvl w:val="0"/>
                <w:numId w:val="10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Metodología seleccionada</w:t>
            </w:r>
          </w:p>
          <w:p>
            <w:pPr>
              <w:pStyle w:val="Normal1"/>
              <w:widowControl w:val="false"/>
              <w:numPr>
                <w:ilvl w:val="0"/>
                <w:numId w:val="10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Solución analítica</w:t>
            </w:r>
          </w:p>
          <w:p>
            <w:pPr>
              <w:pStyle w:val="Normal1"/>
              <w:widowControl w:val="false"/>
              <w:numPr>
                <w:ilvl w:val="0"/>
                <w:numId w:val="10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Descripción del procedimiento experimental</w:t>
            </w:r>
          </w:p>
          <w:p>
            <w:pPr>
              <w:pStyle w:val="Normal1"/>
              <w:widowControl w:val="false"/>
              <w:numPr>
                <w:ilvl w:val="0"/>
                <w:numId w:val="10"/>
              </w:numPr>
              <w:pBdr/>
              <w:spacing w:lineRule="auto" w:line="259" w:before="0" w:after="160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Resultados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rFonts w:eastAsia="Calibri" w:cs="Calibri"/>
              </w:rPr>
              <w:t>Argumentar el comportamiento de fenómenos físicos y químicos, mediante la interpretación, análisis y discusión de resultados, con base en los principios y teorías de la física y la química, para contribuir a la solución de problemas en su ámbito profesional.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Elabora un informe donde fundamenta lo siguiente: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Interpretación de resultados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Discusión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Conclusión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Referencias teóricas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59" w:before="0" w:after="160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Aplicaciones potenciales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rFonts w:eastAsia="Calibri" w:cs="Calibri"/>
              </w:rPr>
              <w:t>I.</w:t>
              <w:tab/>
              <w:t>Principios básicos de Química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eastAsia="Calibri" w:cs="Calibri"/>
              </w:rPr>
              <w:t>El estudiante desarrollará las técnicas de química básica y del método científico para la interpretación de procesos químicos.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/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/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>
                <w:rFonts w:eastAsia="Calibri" w:cs="Calibri"/>
              </w:rPr>
              <w:t>Método científico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Describir los conceptos de ciencia, tecnología, investigación y su relación con el método científico.</w:t>
              <w:br/>
              <w:br/>
              <w:t>Describir los elementos del método científico: observación, planteamiento del problema, objetivos generales y específicos, hipótesis, justificación, variables, metodología, experimentación, resultados, validación de hipótesis y conclusiones.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rFonts w:eastAsia="Calibri" w:cs="Calibri"/>
              </w:rPr>
              <w:t>Determinar las características de fenómenos químicos de acuerdo al método científico.</w:t>
              <w:br/>
              <w:br/>
              <w:t>Desarrollar las etapas del método científico.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proyectos aplicando en forma responsable la normatividad vigente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el pensamiento analítico a través de la resolución de problemas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Fortalecer la actitud proactiva a través de la asignación de actividades y retos específicos 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rFonts w:eastAsia="Calibri" w:cs="Calibri"/>
              </w:rPr>
              <w:t xml:space="preserve">Fomentar el desarrollo de proyectos y/o prácticas que atiendan las necesidades del sector social 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>
                <w:rFonts w:eastAsia="Calibri" w:cs="Calibri"/>
              </w:rPr>
              <w:t>Teoría atómica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Describir la evolución de las teorías atómicas.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br/>
              <w:t>Identificar las partes que componen el átomo.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Describir los conceptos de masa atómica, masa molecular, número de Avogadro y mol.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Representar los modelos atómicos.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br/>
              <w:t>Calcular la masa molecular de compuestos y el número de moles en cantidades determinadas de masa.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Calcular el número de partículas en una determinada masa.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el pensamiento analítico a través de la resolución de ejercicios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Buenas prácticas de laboratorio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las medidas de seguridad e higiene y manejo de reactivos en laboratorios químicos.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materiales y equipos de laboratorios químicos.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Describir las técnicas básicas de laboratorio de análisis químicos: pipetear, utilizar la balanza analítica, titular, aforar.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los procedimientos de manejo y disposición de residuos en laboratorios químicos.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los componentes y estructura de un sistema de registro en un laboratorio químico.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las técnicas de laboratorio de acuerdo a los procedimientos y normas de seguridad y disposición de reactivos.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br/>
              <w:t>Transferir sustancias líquidas.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br/>
              <w:t>Pesar con precisión y exactitud sustancias.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br/>
              <w:t>Operar sistemas de titulación con precisión.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br/>
              <w:t>Medir volúmenes con material aforado.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Estructurar bitácoras de incidencias de un laboratorio químico.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1"/>
              <w:widowControl w:val="false"/>
              <w:spacing w:lineRule="auto" w:line="240" w:before="240" w:after="24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Asumir una actitud metódica al realizar mediciones.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rFonts w:eastAsia="Calibri" w:cs="Calibri"/>
              </w:rPr>
              <w:t>Desarrollar prácticas de laboratorio considerando la preservación del medio ambiente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Administración de laboratorios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las condiciones de un almacén de sustancias químicas de acuerdo con la normatividad aplicable.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los elementos requeridos de un procedimiento operativo de las funciones en el laboratorio químico conforme la norma NMX-EC-17025: inventario, almacenamiento, calibración de equipos, ejecución de pruebas, programación de suministro de insumos, programación de mantenimiento a equipos.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Verificar el cumplimiento de las condiciones de almacenamiento de laboratorio químico.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Proponer un sistema de control de inventario acorde a las características del laboratorio químico, mediante la aplicación de software pertinente y disponible.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Proponer procedimientos operativos de las funciones en el laboratorio químico conforme la norma NMX-EC-17025.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Evaluar los reglamentos de laboratorios a través de las normas y buenas prácticas de laboratorio, manejo de reactivos, seguridad e higiene, primeros auxilios, manejo y disposición de residuos, para lograr un buen desempeño en un laboratorio.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Prácticas de laboratorio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Investigación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Equipo colaborativo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Laboratorio de Química</w:t>
            </w:r>
          </w:p>
          <w:p>
            <w:pPr>
              <w:pStyle w:val="Normal1"/>
              <w:widowControl w:val="false"/>
              <w:rPr/>
            </w:pPr>
            <w:r>
              <w:rPr/>
              <w:t>Material de laboratorio</w:t>
            </w:r>
          </w:p>
          <w:p>
            <w:pPr>
              <w:pStyle w:val="Normal1"/>
              <w:widowControl w:val="false"/>
              <w:rPr/>
            </w:pPr>
            <w:r>
              <w:rPr/>
              <w:t>Reactivos químicos</w:t>
            </w:r>
          </w:p>
          <w:p>
            <w:pPr>
              <w:pStyle w:val="Normal1"/>
              <w:widowControl w:val="false"/>
              <w:rPr/>
            </w:pPr>
            <w:r>
              <w:rPr/>
              <w:t>Equipos de laboratorio</w:t>
            </w:r>
          </w:p>
          <w:p>
            <w:pPr>
              <w:pStyle w:val="Normal1"/>
              <w:widowControl w:val="false"/>
              <w:rPr/>
            </w:pPr>
            <w:r>
              <w:rPr/>
              <w:t>Equipo de cómputo</w:t>
            </w:r>
          </w:p>
          <w:p>
            <w:pPr>
              <w:pStyle w:val="Normal1"/>
              <w:widowControl w:val="false"/>
              <w:rPr/>
            </w:pPr>
            <w:r>
              <w:rPr/>
              <w:t>Manuales de seguridad</w:t>
            </w:r>
          </w:p>
          <w:p>
            <w:pPr>
              <w:pStyle w:val="Normal1"/>
              <w:widowControl w:val="false"/>
              <w:rPr/>
            </w:pPr>
            <w:r>
              <w:rPr/>
              <w:t>Equipos de seguridad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Pintarrón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Calibri" w:cs="Calibri"/>
              </w:rPr>
              <w:t>Implementa las técnicas de química y el método científico en el laboratorio o en situaciones reales de su entorno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A partir de un caso práctico desarrolla un informe técnico conforme al método científico que contenga lo siguiente: </w:t>
            </w:r>
          </w:p>
          <w:p>
            <w:pPr>
              <w:pStyle w:val="Normal1"/>
              <w:widowControl w:val="false"/>
              <w:pBdr/>
              <w:spacing w:lineRule="auto" w:line="259"/>
              <w:ind w:left="720" w:hanging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Representación de modelos atómico de la molécula propuesta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Cálculos de masa atómica incluyendo conversiones y notación científica 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Procedimiento de manejo y uso de reactivos conforme a las hojas de seguridad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Descripción de las técnicas de laboratorio utilizadas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Disposición de los residuos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Interpretación de los resultados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pBdr/>
              <w:spacing w:lineRule="auto" w:line="259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Conclusiones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Estudio de casos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Rúbrica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II. </w:t>
              <w:tab/>
              <w:t>Nomenclatura de compuestos químicos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El </w:t>
            </w:r>
            <w:r>
              <w:rPr/>
              <w:t>estudiante</w:t>
            </w:r>
            <w:r>
              <w:rPr>
                <w:rFonts w:eastAsia="Calibri" w:cs="Calibri"/>
                <w:color w:val="000000"/>
              </w:rPr>
              <w:t xml:space="preserve"> determinará las propiedades físicas- químicas y la nomenclatura de los compuestos químicos, para su utilización como reactivos y compuestos en las reacciones químicas para la obtención de productos en un proceso químico.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</w:t>
            </w:r>
            <w:r>
              <w:rPr/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/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30</w:t>
            </w:r>
          </w:p>
        </w:tc>
      </w:tr>
    </w:tbl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Dimensión Socioafectiva</w:t>
            </w:r>
          </w:p>
        </w:tc>
      </w:tr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</w:rPr>
              <w:t>Tabla periódica</w:t>
            </w:r>
            <w:r>
              <w:rPr/>
              <w:t xml:space="preserve">, </w:t>
            </w:r>
            <w:r>
              <w:rPr>
                <w:rFonts w:eastAsia="Calibri" w:cs="Calibri"/>
              </w:rPr>
              <w:t>propiedades de los elementos y estructura m</w:t>
            </w:r>
            <w:r>
              <w:rPr/>
              <w:t>olecular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la estructura de la tabla periódica: grupo, familia y periodo.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br/>
              <w:t xml:space="preserve">Describir las propiedades periódicas de los elementos: electronegatividad, energía de ionización, afinidad electrónica, radio atómico y volumen atómico. 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pBdr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Explicar la configuración electrónica de los elementos.</w:t>
            </w:r>
          </w:p>
          <w:p>
            <w:pPr>
              <w:pStyle w:val="Normal1"/>
              <w:widowControl w:val="false"/>
              <w:spacing w:lineRule="auto" w:line="240" w:before="240" w:after="240"/>
              <w:jc w:val="center"/>
              <w:rPr/>
            </w:pPr>
            <w:r>
              <w:rPr/>
              <w:t>Identificar la definición de los números cuánticos y  los subniveles energéticos en función del número atómico.</w:t>
            </w:r>
          </w:p>
          <w:p>
            <w:pPr>
              <w:pStyle w:val="Normal1"/>
              <w:widowControl w:val="false"/>
              <w:spacing w:lineRule="auto" w:line="240" w:before="240" w:after="240"/>
              <w:jc w:val="center"/>
              <w:rPr/>
            </w:pPr>
            <w:r>
              <w:rPr/>
              <w:t xml:space="preserve"> </w:t>
            </w:r>
            <w:r>
              <w:rPr/>
              <w:t>Identificar la teoría de Lewis.</w:t>
            </w:r>
          </w:p>
          <w:p>
            <w:pPr>
              <w:pStyle w:val="Normal1"/>
              <w:widowControl w:val="false"/>
              <w:spacing w:lineRule="auto" w:line="240" w:before="240" w:after="240"/>
              <w:jc w:val="center"/>
              <w:rPr/>
            </w:pPr>
            <w:r>
              <w:rPr/>
              <w:t xml:space="preserve"> </w:t>
            </w:r>
            <w:r>
              <w:rPr/>
              <w:t>Identificar los tipos de enlaces y propiedades.</w:t>
            </w:r>
          </w:p>
          <w:p>
            <w:pPr>
              <w:pStyle w:val="Normal1"/>
              <w:widowControl w:val="false"/>
              <w:spacing w:lineRule="auto" w:line="240" w:before="240" w:after="24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Determinar las propiedades físicas y químicas de los elementos de acuerdo con la tabla periódica.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</w:rPr>
              <w:br/>
              <w:t>Desarrollar la configuración electrónica de los elementos.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el pensamiento analítico a través de la resolución de problemas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Promover la responsabilidad y honestidad a través del desarrollo de actividades en forma individual o en equipo de forma proactiva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Estados de agregación de la materia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Describir los estados de agregación de la materia: gas, líquido, sólido y plasma.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br/>
              <w:t>Describir los conceptos de evaporación, condensación, fusión, solidificación, sublimación y deposición.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Demostrar los estados de agregación de la materia y sus transformaciones y equilibrio de fase.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el pensamiento analítico al identificar los estados de agregación de la materia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Propiedades físicas y químicas de la materia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Definir las propiedades físicas: volumen, temperatura, presión, densidad, punto de ebullición, punto de fusión.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Describir los conceptos, masa, peso, peso específico, gravedad específica y densidad.</w:t>
              <w:br/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Definir las propiedades químicas de la materia: pH, inflamabilidad, combustibilidad, resistencia a la oxidación y a la corrosión.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Medir las propiedades físicas y químicas de la materia: Volumen, temperatura, presión, densidad, punto de fusión, de ebullición, pH.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br/>
              <w:t>Realizar cálculos y conversión de unidades de volumen, masa, peso, peso específico, gravedad específica y densidad.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Demostrar las propiedades químicas de la materia: inflamabilidad, combustibilidad, oxidación y corrosión.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Asumir una actitud metódica al realizar las mediciones.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</w:rPr>
              <w:t>Desarrollar el pensamiento analítico a través de la resolución de problemas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Nomenclatura de compuestos inorgánicos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tipos de compuestos inorgánicos y sus características: ácidos, oxiácidos, hidrácidos, óxidos metálicos, óxidos no metálicos, hidruros metálicos, hidruros no metálicos, sales binarias, sales ternarias, sales cuaternarias</w:t>
            </w:r>
          </w:p>
          <w:p>
            <w:pPr>
              <w:pStyle w:val="Normal1"/>
              <w:widowControl w:val="false"/>
              <w:rPr/>
            </w:pPr>
            <w:r>
              <w:rPr>
                <w:rFonts w:eastAsia="Calibri" w:cs="Calibri"/>
              </w:rPr>
              <w:t>Describir las reglas de nomenclatura de la IUPAC para la identificación de compuestos inorgánicos</w:t>
            </w:r>
            <w:r>
              <w:rPr/>
              <w:t>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Explicar las propiedades físicas-químicas y aplicaciones de los compuestos inorgánicos en los procesos químicos y tecnológicos.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24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Nombrar compuestos químicos utilizando las reglas de la IUPAC.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Determinar las propiedades físicas y químicas de los compuestos inorgánicos en función de su clasificación.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Demostrar experimentalmente las propiedades físicas y químicas de los compuestos inorgánicos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el pensamiento analítico al identificar el tipo de compuesto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Asumir una actitud metódica al realizar determinaciones en el laboratorio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Promover la responsabilidad y honestidad a través del desarrollo de actividades en forma individual o en equipo de forma proactiva</w:t>
            </w:r>
          </w:p>
        </w:tc>
      </w:tr>
    </w:tbl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tbl>
      <w:tblPr>
        <w:tblStyle w:val="Table11"/>
        <w:tblpPr w:bottomFromText="0" w:horzAnchor="margin" w:leftFromText="141" w:rightFromText="141" w:tblpX="0" w:tblpY="1666" w:topFromText="0" w:vertAnchor="page"/>
        <w:tblW w:w="125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3E7065"/>
              </w:rPr>
            </w:pPr>
            <w:r>
              <w:rPr>
                <w:rFonts w:eastAsia="Calibri" w:cs="Calibri"/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Prácticas de laboratorio</w:t>
              <w:br/>
              <w:t>Investigación</w:t>
              <w:br/>
              <w:t>Equipo colaborativo</w:t>
              <w:b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Laboratorio de química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Reactivos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Materiales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Equipo de laboratorio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Pintarrón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Equipo de cómputo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Internet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Manuales de seguridad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Equipo de seguridad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3E7065"/>
              </w:rPr>
            </w:pPr>
            <w:r>
              <w:rPr>
                <w:rFonts w:eastAsia="Calibri" w:cs="Calibri"/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3E7065"/>
              </w:rPr>
            </w:pPr>
            <w:r>
              <w:rPr>
                <w:rFonts w:eastAsia="Calibri" w:cs="Calibri"/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 las propiedades físico-químicas de los compuestos inorgánicos y los utiliza como reactivos en las reacciones químicas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 partir de un caso de estudio de química, entrega un reporte que incluya: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pBdr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Representación atómica de elementos del compuesto en función de sus propiedades periódicas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pBdr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Identificación del tipo de compuesto inorgánico y su nomenclatura de acuerdo a la IUPAC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pBdr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Descripción de las propiedades físicas y químicas de los compuestos resultantes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color w:val="000000"/>
              </w:rPr>
              <w:t>Descripción de compuestos inorgánicos obtenidos en laboratorio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Rúbricas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Portafolio de evidencias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Estudio de casos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  <w:t xml:space="preserve"> </w:t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59" w:before="0" w:after="160"/>
              <w:ind w:left="1800" w:right="0" w:hanging="72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Reacciones químicas 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</w:rPr>
              <w:t>El estudiante desarrollará reacciones químicas inorgánicas para la obtención de productos en los procesos químicos.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</w:t>
            </w:r>
            <w:r>
              <w:rPr/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/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30</w:t>
            </w:r>
          </w:p>
        </w:tc>
      </w:tr>
    </w:tbl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Dimensión Socioafectiva</w:t>
            </w:r>
          </w:p>
        </w:tc>
      </w:tr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</w:rPr>
              <w:t>Mezclas químicas y sus propiedades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Describir los tipos y características de las mezclas homogéneas, heterogéneas.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</w:rPr>
              <w:t>Describir el concepto de propiedades coligativas.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</w:rPr>
              <w:t>Demostrar propiedades coligativas de soluciones y sistemas coloidales.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el pensamiento analítico a través de la identificación de conceptos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Reacciones Químicas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el concepto de reacción química.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los tipos de reacciones químicas: sustitución, adición, óxido-reducción y precipitación.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experimentalmente los siguientes tipos de reacción: sustitución, adición, óxido-reducción y precipitación.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Asumir una actitud metódica al realizar prácticas en el laboratorio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Conservación de la materia y la energía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Explicar la ley de la conservación de la materia y energía.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br/>
              <w:t>Explicar la ley de proporciones múltiples.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Demostrar la conservación de la materia en las ecuaciones químicas.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</w:rPr>
              <w:t>Desarrollar el pensamiento analítico a través de la resolución de problemas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Estequiometria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los conceptos de reacción química, ecuación química, balanceo de reacción y mecanismos de reacción, reactivo limitante, reactivo en exceso, rendimiento de la reacción.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Explicar los componentes de una ecuación química.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Explicar los métodos de balanceo de reacciones: tanteo, algebraico y redox.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Balancear reacciones químicas.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Determinar reactivos limitantes, reactivos en exceso y rendimientos de reacciones químicas.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Calcular las cantidades de reactivos.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el pensamiento analítico a través de la resolución de problemas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Fomentar la responsabilidad y honestidad a través del desarrollo de actividades en forma individual o en equipo de forma proactiva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tbl>
      <w:tblPr>
        <w:tblStyle w:val="Table15"/>
        <w:tblpPr w:bottomFromText="0" w:horzAnchor="margin" w:leftFromText="141" w:rightFromText="141" w:tblpX="0" w:tblpY="1666" w:topFromText="0" w:vertAnchor="page"/>
        <w:tblW w:w="125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3E7065"/>
              </w:rPr>
            </w:pPr>
            <w:r>
              <w:rPr>
                <w:rFonts w:eastAsia="Calibri" w:cs="Calibri"/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Práctica en laboratorio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Solución de problemas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Análisis de casos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Laboratorio de química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Reactivos/material de laboratorio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Equipo de laboratorio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Pintarrón/plumones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3E7065"/>
              </w:rPr>
            </w:pPr>
            <w:r>
              <w:rPr>
                <w:rFonts w:eastAsia="Calibri" w:cs="Calibri"/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3E7065"/>
              </w:rPr>
            </w:pPr>
            <w:r>
              <w:rPr>
                <w:rFonts w:eastAsia="Calibri" w:cs="Calibri"/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Obtiene productos a partir de reacciones químicas en los procesos químicos</w:t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 partir de un caso práctico elabora un reporte que contenga: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pBdr/>
              <w:spacing w:lineRule="auto" w:line="240" w:before="0" w:after="0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Tipo de reacciones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pBdr/>
              <w:spacing w:lineRule="auto" w:line="240" w:before="0" w:after="0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Balanceo de ecuaciones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pBdr/>
              <w:spacing w:lineRule="auto" w:line="240" w:before="0" w:after="0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Cálculo de Reactivo limitante, reactivo en exceso, rendimiento y pureza.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Estudio de casos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</w:rPr>
              <w:t>Rúbrica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3E7065"/>
        </w:rPr>
      </w:pPr>
      <w:r>
        <w:rPr>
          <w:rFonts w:eastAsia="Calibri" w:cs="Calibri"/>
          <w:b/>
          <w:color w:val="3E7065"/>
        </w:rPr>
      </w:r>
    </w:p>
    <w:p>
      <w:pPr>
        <w:pStyle w:val="Normal1"/>
        <w:pBdr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3E7065"/>
        </w:rPr>
      </w:pPr>
      <w:r>
        <w:rPr>
          <w:rFonts w:eastAsia="Calibri" w:cs="Calibri"/>
          <w:b/>
          <w:color w:val="3E7065"/>
        </w:rPr>
      </w:r>
    </w:p>
    <w:tbl>
      <w:tblPr>
        <w:tblStyle w:val="Table17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</w:rPr>
              <w:t xml:space="preserve">IV. </w:t>
            </w:r>
            <w:r>
              <w:rPr>
                <w:rFonts w:eastAsia="Calibri" w:cs="Calibri"/>
                <w:color w:val="000000"/>
              </w:rPr>
              <w:t>Soluciones y cinética química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</w:rPr>
              <w:t>El estudiante determinará la cinética química para establecer las condiciones adecuadas en un proceso.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/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1</w:t>
            </w:r>
            <w:r>
              <w:rPr/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20</w:t>
            </w:r>
          </w:p>
        </w:tc>
      </w:tr>
    </w:tbl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tbl>
      <w:tblPr>
        <w:tblStyle w:val="Table18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Dimensión Socioafectiva</w:t>
            </w:r>
          </w:p>
        </w:tc>
      </w:tr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</w:rPr>
              <w:t>Soluciones químicas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los conceptos de: Molaridad, Normalidad, Molalidad, % p/p, % v/v, % p/v, ppm, ppb, formalidad, fracción molar.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Explicar las unidades de concentración de soluciones: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 Normales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 Molares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 Molales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 % en p/p, % en v/v, % p/v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 ppm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 ppb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 Formales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- fracción mol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</w:rPr>
              <w:t>Identificar la clasificación de soluciones en función de su solubilidad, insolubilidad, parcialmente soluble, solubilidad ilimitada, soluciones diluidas, saturadas y sobresaturadas.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Preparar soluciones molares, normales, Porcentuales, formales, fracción mol, ppm y ppb.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Demostrar experimentalmente las propiedades de solubilidad de las soluciones en función de sus características químicas.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</w:rPr>
              <w:t>Preparar diluciones.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Fomentar la responsabilidad y honestidad a través del desarrollo de actividades en forma individual o en equipo de forma proactiva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</w:rPr>
              <w:t>Asumir una actitud metódica al realizar prácticas en el laboratorio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Cinética química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Definir los conceptos: cinética de reacción, velocidad de reacción, energía de activación, equilibrio químico, reactivo limitante, rendimiento, selectividad.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Determinar la cinética de reacciones químicas.</w:t>
              <w:br/>
              <w:br/>
              <w:t>Calcular la energía de activación, el equilibrio químico, el reactivo limitante, el rendimiento, la selectividad de reacciones químicas.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el pensamiento analítico al identificar el reactivo limitante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Desarrollar el pensamiento analítico al calcular el rendimiento de la reacción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tbl>
      <w:tblPr>
        <w:tblStyle w:val="Table19"/>
        <w:tblpPr w:bottomFromText="0" w:horzAnchor="margin" w:leftFromText="141" w:rightFromText="141" w:tblpX="0" w:tblpY="1666" w:topFromText="0" w:vertAnchor="page"/>
        <w:tblW w:w="125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3E7065"/>
              </w:rPr>
            </w:pPr>
            <w:r>
              <w:rPr>
                <w:rFonts w:eastAsia="Calibri" w:cs="Calibri"/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Prácticas de laboratorio </w:t>
              <w:br/>
              <w:t xml:space="preserve">Investigación </w:t>
              <w:br/>
              <w:t>Equipo colaborativo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Laboratorio de química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Reactivos/Materiales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Equipo de laboratorio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Pintarrón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Equipo de cómputo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Internet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Manuales de seguridad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Equipo de seguridad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3E7065"/>
              </w:rPr>
            </w:pPr>
            <w:r>
              <w:rPr>
                <w:rFonts w:eastAsia="Calibri" w:cs="Calibri"/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3E7065"/>
              </w:rPr>
            </w:pPr>
            <w:r>
              <w:rPr>
                <w:rFonts w:eastAsia="Calibri" w:cs="Calibri"/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tbl>
      <w:tblPr>
        <w:tblStyle w:val="Table20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Establece la cinética química en un proceso de su entorno académico o real.</w:t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Desarrolla a partir de un caso práctico un informe que contenga lo siguiente: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pBdr/>
              <w:spacing w:lineRule="auto" w:line="240" w:before="0" w:after="0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Cálculos de cantidad de masa de reactivos y productos de una ecuación química balanceada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pBdr/>
              <w:spacing w:lineRule="auto" w:line="240" w:before="0" w:after="0"/>
              <w:ind w:left="720" w:hanging="3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Cálculos para la preparación de soluciones en diferentes unidades de concentración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pBdr/>
              <w:spacing w:lineRule="auto" w:line="240" w:before="0" w:after="0"/>
              <w:ind w:left="720" w:hanging="3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color w:val="000000"/>
              </w:rPr>
              <w:t>Cálculos de la velocidad de reacción, constante de equilibrio químico, rendimiento, selectividad, reactivo limitante y energía de activación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Análisis de resultados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Caso práctico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br/>
              <w:t>Rúbrica</w:t>
            </w:r>
          </w:p>
        </w:tc>
      </w:tr>
    </w:tbl>
    <w:p>
      <w:pPr>
        <w:pStyle w:val="Normal1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/>
          <w:b/>
          <w:color w:val="000000"/>
        </w:rPr>
      </w:r>
    </w:p>
    <w:p>
      <w:pPr>
        <w:pStyle w:val="Normal1"/>
        <w:rPr>
          <w:rFonts w:ascii="Calibri" w:hAnsi="Calibri" w:eastAsia="Calibri" w:cs="Calibri"/>
          <w:b/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Style w:val="Table21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</w:rPr>
              <w:t>Profesionista en el área de Química, Ingeniería Química,</w:t>
            </w:r>
            <w:r>
              <w:rPr/>
              <w:t xml:space="preserve"> Ingeniería en Nanotecnología</w:t>
            </w:r>
            <w:r>
              <w:rPr>
                <w:rFonts w:eastAsia="Calibri" w:cs="Calibri"/>
              </w:rPr>
              <w:t xml:space="preserve"> o afín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Al menos dos años de experiencia en la enseñanza de la química aplicada en nivel superior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Capacitaciones en estrategias didácticas</w:t>
            </w:r>
          </w:p>
          <w:p>
            <w:pPr>
              <w:pStyle w:val="Normal1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Inducción al modelo educativo de las UST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Capacitaciones en el área de Nanotecnología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</w:rPr>
              <w:t>Mínimo un año de experiencia en el ejercicio profesional del área de ingeniería de su formación</w:t>
            </w:r>
          </w:p>
        </w:tc>
      </w:tr>
    </w:tbl>
    <w:p>
      <w:pPr>
        <w:pStyle w:val="Normal1"/>
        <w:spacing w:lineRule="auto" w:line="240" w:before="0" w:after="0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Style w:val="Table22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Brow, Theodor L.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i/>
                <w:color w:val="000000"/>
              </w:rPr>
              <w:t>Química. La ciencia Central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ISBN:9786073256391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Chang, Raymond / Goldsby, Kenneth A.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i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</w:rPr>
              <w:t>Química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McGraw-Hill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ISBN:</w:t>
            </w:r>
            <w:r>
              <w:rPr/>
              <w:t xml:space="preserve"> </w:t>
            </w:r>
            <w:r>
              <w:rPr>
                <w:rFonts w:eastAsia="Calibri" w:cs="Calibri"/>
                <w:color w:val="000000"/>
              </w:rPr>
              <w:t>9786071513939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 xml:space="preserve">Carriedo, Gabino A. </w:t>
              <w:br/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2015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i/>
                <w:color w:val="000000"/>
              </w:rPr>
              <w:t>La Química Inorgánica</w:t>
              <w:br/>
              <w:t xml:space="preserve"> en Reacciones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Síntesis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ISBN:9788490772461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 xml:space="preserve">Housecroft,Catherine; </w:t>
              <w:br/>
              <w:t xml:space="preserve">Sharpe, Alan G.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i/>
                <w:color w:val="000000"/>
              </w:rPr>
              <w:t>Inorganic Chemistry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E.E.U.U.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Prentice Hall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ISBN:0273742752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Shriver, Atkins, Armonstrong, Overton and Weller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 xml:space="preserve">2010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i/>
                <w:color w:val="000000"/>
              </w:rPr>
              <w:t xml:space="preserve">Química Inorgánica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McGraw-Hill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ISBN:9789701065310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Woodfield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2009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i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</w:rPr>
              <w:t>Laboratorio virtual de química general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Prentice Hall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ISBN:9786074422108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M.A. Ciriano y P. Román Polo (Traductores)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2007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i/>
                <w:color w:val="000000"/>
              </w:rPr>
              <w:t>Nomenclatura de química</w:t>
              <w:br/>
              <w:t xml:space="preserve"> inorgánica.</w:t>
              <w:br/>
              <w:t xml:space="preserve"> Recomendaciones </w:t>
              <w:br/>
              <w:t>de la IUPAC de 2005.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 xml:space="preserve">Prensa </w:t>
              <w:br/>
              <w:t>Universitaria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color w:val="000000"/>
              </w:rPr>
              <w:t>ISBN:9788477339052</w:t>
            </w:r>
          </w:p>
        </w:tc>
      </w:tr>
    </w:tbl>
    <w:p>
      <w:pPr>
        <w:pStyle w:val="Normal1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1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</w:r>
    </w:p>
    <w:tbl>
      <w:tblPr>
        <w:tblStyle w:val="Table23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b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Calibri" w:hAnsi="Calibri"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</w:tc>
      </w:tr>
    </w:tbl>
    <w:p>
      <w:pPr>
        <w:pStyle w:val="Normal1"/>
        <w:rPr>
          <w:rFonts w:ascii="Calibri" w:hAnsi="Calibri" w:eastAsia="Calibri" w:cs="Calibri"/>
          <w:b/>
          <w:b/>
        </w:rPr>
      </w:pPr>
      <w:r>
        <w:rPr>
          <w:rFonts w:eastAsia="Calibri" w:cs="Calibri"/>
          <w:b/>
        </w:rPr>
        <w:t xml:space="preserve"> </w:t>
      </w:r>
    </w:p>
    <w:p>
      <w:pPr>
        <w:pStyle w:val="Normal1"/>
        <w:pBdr/>
        <w:spacing w:lineRule="auto" w:line="240" w:before="0" w:after="0"/>
        <w:rPr>
          <w:rFonts w:ascii="Calibri" w:hAnsi="Calibri" w:eastAsia="Calibri" w:cs="Calibri"/>
          <w:b/>
          <w:b/>
          <w:color w:val="000000"/>
        </w:rPr>
      </w:pPr>
      <w:r>
        <w:rPr/>
      </w:r>
    </w:p>
    <w:sectPr>
      <w:footerReference w:type="default" r:id="rId4"/>
      <w:type w:val="nextPage"/>
      <w:pgSz w:orient="landscape" w:w="15840" w:h="12240"/>
      <w:pgMar w:left="1701" w:right="1701" w:gutter="0" w:header="0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4" w:name="_heading=h.1fob9te"/>
          <w:bookmarkEnd w:id="4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 xml:space="preserve">GRUPO DE TRABAJO DE </w:t>
          </w: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</w:t>
          </w: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y</w:t>
          </w: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3"/>
      <w:numFmt w:val="upperRoman"/>
      <w:lvlText w:val="%1."/>
      <w:lvlJc w:val="left"/>
      <w:pPr>
        <w:tabs>
          <w:tab w:val="num" w:pos="0"/>
        </w:tabs>
        <w:ind w:left="180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6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9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uiPriority w:val="34"/>
    <w:qFormat/>
    <w:rsid w:val="008707e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OgiM8dmteYKS5Gx/jS4c85Rm2A==">CgMxLjAyCWguMzBqMHpsbDIIaC5namRneHMyCWguMWZvYjl0ZTgAciExX3BkQ29LWHgxaHRwUmNjS05LS0FnN2xoMDJYTVNPUnQ=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26</Pages>
  <Words>2845</Words>
  <Characters>17733</Characters>
  <CharactersWithSpaces>20208</CharactersWithSpaces>
  <Paragraphs>471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2024-04-18T03:33:00Z</dcterms:created>
  <dc:creator>Fabiola Aquino Caballero</dc:creator>
  <dc:description/>
  <dc:language>en-US</dc:language>
  <cp:lastModifiedBy/>
  <dcterms:modified xsi:type="dcterms:W3CDTF">2024-07-04T11:45:59Z</dcterms:modified>
  <cp:revision>2</cp:revision>
  <dc:subject/>
  <dc:title/>
</cp:coreProperties>
</file>