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header3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spacing w:lineRule="auto" w:line="276" w:before="0" w:after="0"/>
        <w:rPr>
          <w:rFonts w:ascii="Arial" w:hAnsi="Arial" w:eastAsia="Arial" w:cs="Arial"/>
          <w:color w:val="000000"/>
        </w:rPr>
      </w:pPr>
      <w:r>
        <w:rPr>
          <w:rFonts w:eastAsia="Arial" w:cs="Arial" w:ascii="Arial" w:hAnsi="Arial"/>
          <w:color w:val="000000"/>
        </w:rPr>
      </w:r>
      <w:bookmarkStart w:id="0" w:name="_heading=h.30j0zll"/>
      <w:bookmarkStart w:id="1" w:name="_heading=h.30j0zll"/>
      <w:bookmarkEnd w:id="1"/>
    </w:p>
    <w:tbl>
      <w:tblPr>
        <w:tblStyle w:val="ab"/>
        <w:tblW w:w="124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3017"/>
        <w:gridCol w:w="7325"/>
        <w:gridCol w:w="2086"/>
      </w:tblGrid>
      <w:tr>
        <w:trPr/>
        <w:tc>
          <w:tcPr>
            <w:tcW w:w="3017" w:type="dxa"/>
            <w:tcBorders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3E7065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806575" cy="351155"/>
                  <wp:effectExtent l="0" t="0" r="0" b="0"/>
                  <wp:docPr id="1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tcBorders/>
            <w:vAlign w:val="center"/>
          </w:tcPr>
          <w:p>
            <w:pPr>
              <w:pStyle w:val="Normal"/>
              <w:widowControl w:val="false"/>
              <w:pBdr/>
              <w:tabs>
                <w:tab w:val="clear" w:pos="720"/>
                <w:tab w:val="center" w:pos="4419" w:leader="none"/>
                <w:tab w:val="right" w:pos="8838" w:leader="none"/>
              </w:tabs>
              <w:spacing w:lineRule="auto" w:line="259" w:before="0" w:after="16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PROGRAMA EDUCATIVO: 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center" w:pos="4419" w:leader="none"/>
                <w:tab w:val="right" w:pos="8838" w:leader="none"/>
              </w:tabs>
              <w:spacing w:lineRule="auto" w:line="259" w:before="0" w:after="16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TÉCNICO SUPERIOR UNIVERSITARIO EN NANOTECNOLOGÍA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center" w:pos="4419" w:leader="none"/>
                <w:tab w:val="right" w:pos="8838" w:leader="none"/>
              </w:tabs>
              <w:spacing w:lineRule="auto" w:line="259" w:before="0" w:after="16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 COMPETENCIAS PROFESIONALES</w:t>
            </w:r>
          </w:p>
        </w:tc>
        <w:tc>
          <w:tcPr>
            <w:tcW w:w="2086" w:type="dxa"/>
            <w:tcBorders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3E7065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1169035" cy="579755"/>
                  <wp:effectExtent l="0" t="0" r="0" b="0"/>
                  <wp:docPr id="2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3E7065"/>
                <w:sz w:val="24"/>
                <w:szCs w:val="24"/>
              </w:rPr>
              <w:t xml:space="preserve">       </w:t>
            </w:r>
          </w:p>
        </w:tc>
      </w:tr>
    </w:tbl>
    <w:p>
      <w:pPr>
        <w:pStyle w:val="Normal"/>
        <w:pBdr/>
        <w:spacing w:before="0" w:after="0"/>
        <w:jc w:val="center"/>
        <w:rPr>
          <w:b/>
          <w:b/>
          <w:color w:val="3E7065"/>
          <w:sz w:val="24"/>
          <w:szCs w:val="24"/>
        </w:rPr>
      </w:pPr>
      <w:r>
        <w:rPr>
          <w:b/>
          <w:color w:val="3E7065"/>
          <w:sz w:val="24"/>
          <w:szCs w:val="24"/>
        </w:rPr>
      </w:r>
    </w:p>
    <w:p>
      <w:pPr>
        <w:pStyle w:val="Normal"/>
        <w:pBdr/>
        <w:spacing w:before="0" w:after="0"/>
        <w:rPr>
          <w:b/>
          <w:b/>
          <w:color w:val="3E7065"/>
          <w:sz w:val="24"/>
          <w:szCs w:val="24"/>
        </w:rPr>
      </w:pPr>
      <w:r>
        <w:rPr>
          <w:b/>
          <w:color w:val="3E7065"/>
          <w:sz w:val="24"/>
          <w:szCs w:val="24"/>
        </w:rPr>
        <w:t>PROGRAMA DE ASIGNATURA: CARACTERIZACIÓN DE MATERIALES I     CLAVE:_________________________</w:t>
      </w:r>
    </w:p>
    <w:p>
      <w:pPr>
        <w:pStyle w:val="Normal"/>
        <w:pBdr/>
        <w:spacing w:before="0" w:after="0"/>
        <w:jc w:val="center"/>
        <w:rPr>
          <w:b/>
          <w:b/>
          <w:color w:val="FFFFFF"/>
        </w:rPr>
      </w:pPr>
      <w:r>
        <w:rPr>
          <w:b/>
          <w:color w:val="FFFFFF"/>
        </w:rPr>
      </w:r>
    </w:p>
    <w:tbl>
      <w:tblPr>
        <w:tblStyle w:val="ac"/>
        <w:tblW w:w="124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560"/>
        <w:gridCol w:w="1365"/>
        <w:gridCol w:w="284"/>
        <w:gridCol w:w="1246"/>
        <w:gridCol w:w="2340"/>
        <w:gridCol w:w="2819"/>
        <w:gridCol w:w="2865"/>
      </w:tblGrid>
      <w:tr>
        <w:trPr/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Propósito de aprendizaje de la Asignatura</w:t>
            </w:r>
          </w:p>
        </w:tc>
        <w:tc>
          <w:tcPr>
            <w:tcW w:w="95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/>
              <w:t xml:space="preserve">El estudiante evaluará las propiedades de los materiales nanoestructurados, mediante las técnicas aplicables, para su implementación en procesos nanotecnológicos para así contribuir a la transferencia de tecnología. </w:t>
            </w:r>
          </w:p>
        </w:tc>
      </w:tr>
      <w:tr>
        <w:trPr/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Competencia a la que contribuye la asignatura</w:t>
            </w:r>
          </w:p>
        </w:tc>
        <w:tc>
          <w:tcPr>
            <w:tcW w:w="95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both"/>
              <w:rPr/>
            </w:pPr>
            <w:r>
              <w:rPr/>
              <w:t>Caracterizar y evaluar materiales nanoestructurados a través de la documentación del proceso, con base en las técnicas establecidas e innovadoras, la normatividad aplicable, para contribuir a la innovación tecnológica, a fin de resolver problemas del sector productivo, comercial, académico y social, con principios éticos, inclusivos, de equidad y con visión sostenible.</w:t>
            </w:r>
          </w:p>
        </w:tc>
      </w:tr>
      <w:tr>
        <w:trPr>
          <w:trHeight w:val="486" w:hRule="atLeast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Tipo de competencia</w:t>
            </w:r>
          </w:p>
        </w:tc>
        <w:tc>
          <w:tcPr>
            <w:tcW w:w="16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color w:val="FFFFFF"/>
              </w:rPr>
              <w:t>Cuatrimestre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color w:val="FFFFFF"/>
              </w:rPr>
              <w:t>Créditos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color w:val="FFFFFF"/>
              </w:rPr>
              <w:t>Modalidad</w:t>
            </w:r>
          </w:p>
        </w:tc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Horas por semana</w:t>
            </w:r>
          </w:p>
        </w:tc>
        <w:tc>
          <w:tcPr>
            <w:tcW w:w="28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color w:val="FFFFFF"/>
              </w:rPr>
              <w:t>Horas Totales</w:t>
            </w:r>
          </w:p>
        </w:tc>
      </w:tr>
      <w:tr>
        <w:trPr>
          <w:trHeight w:val="309" w:hRule="atLeast"/>
        </w:trPr>
        <w:tc>
          <w:tcPr>
            <w:tcW w:w="1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164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12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3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8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8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</w:tr>
      <w:tr>
        <w:trPr>
          <w:trHeight w:val="622" w:hRule="atLeast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Específica</w:t>
            </w:r>
          </w:p>
        </w:tc>
        <w:tc>
          <w:tcPr>
            <w:tcW w:w="1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Quinto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6.56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ESCOLARIZADA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>
                <w:b/>
              </w:rPr>
              <w:t>105</w:t>
            </w:r>
          </w:p>
        </w:tc>
      </w:tr>
    </w:tbl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  <w:bookmarkStart w:id="2" w:name="_heading=h.gjdgxs"/>
      <w:bookmarkStart w:id="3" w:name="_heading=h.gjdgxs"/>
      <w:bookmarkEnd w:id="3"/>
    </w:p>
    <w:tbl>
      <w:tblPr>
        <w:tblStyle w:val="ad"/>
        <w:tblW w:w="124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561"/>
        <w:gridCol w:w="2634"/>
        <w:gridCol w:w="2511"/>
        <w:gridCol w:w="2721"/>
      </w:tblGrid>
      <w:tr>
        <w:trPr>
          <w:trHeight w:val="200" w:hRule="atLeast"/>
        </w:trPr>
        <w:tc>
          <w:tcPr>
            <w:tcW w:w="4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Unidades de Aprendizaje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del Saber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del Saber Hacer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Totales</w:t>
            </w:r>
          </w:p>
        </w:tc>
      </w:tr>
      <w:tr>
        <w:trPr>
          <w:trHeight w:val="308" w:hRule="atLeast"/>
        </w:trPr>
        <w:tc>
          <w:tcPr>
            <w:tcW w:w="456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</w:r>
          </w:p>
        </w:tc>
      </w:tr>
      <w:tr>
        <w:trPr>
          <w:trHeight w:val="500" w:hRule="atLeast"/>
        </w:trPr>
        <w:tc>
          <w:tcPr>
            <w:tcW w:w="45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80" w:type="dxa"/>
              <w:right w:w="80" w:type="dxa"/>
            </w:tcMar>
          </w:tcPr>
          <w:p>
            <w:pPr>
              <w:pStyle w:val="Heading1"/>
              <w:keepNext w:val="false"/>
              <w:keepLines w:val="false"/>
              <w:widowControl w:val="false"/>
              <w:spacing w:before="480" w:after="120"/>
              <w:ind w:left="1800" w:hanging="720"/>
              <w:rPr>
                <w:b w:val="false"/>
                <w:b w:val="false"/>
                <w:bCs/>
                <w:sz w:val="22"/>
                <w:szCs w:val="22"/>
              </w:rPr>
            </w:pPr>
            <w:bookmarkStart w:id="4" w:name="_heading=h.4xl3lxm4nmzk"/>
            <w:bookmarkEnd w:id="4"/>
            <w:r>
              <w:rPr>
                <w:b w:val="false"/>
                <w:bCs/>
                <w:sz w:val="22"/>
                <w:szCs w:val="22"/>
              </w:rPr>
              <w:t>1.              Técnicas de Microscopía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12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17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29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80" w:type="dxa"/>
              <w:right w:w="80" w:type="dxa"/>
            </w:tcMar>
          </w:tcPr>
          <w:p>
            <w:pPr>
              <w:pStyle w:val="Heading1"/>
              <w:keepNext w:val="false"/>
              <w:keepLines w:val="false"/>
              <w:widowControl w:val="false"/>
              <w:spacing w:before="480" w:after="120"/>
              <w:ind w:left="1800" w:hanging="720"/>
              <w:rPr>
                <w:b w:val="false"/>
                <w:b w:val="false"/>
                <w:bCs/>
                <w:sz w:val="22"/>
                <w:szCs w:val="22"/>
              </w:rPr>
            </w:pPr>
            <w:bookmarkStart w:id="5" w:name="_heading=h.hq8wan6rx3br"/>
            <w:bookmarkEnd w:id="5"/>
            <w:r>
              <w:rPr>
                <w:b w:val="false"/>
                <w:bCs/>
                <w:sz w:val="22"/>
                <w:szCs w:val="22"/>
              </w:rPr>
              <w:t>2.             Métodos Espectroscópicos y de Análisis Cualitativo y Cuantitativo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9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28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0" w:type="dxa"/>
              <w:right w:w="80" w:type="dxa"/>
            </w:tcMar>
          </w:tcPr>
          <w:p>
            <w:pPr>
              <w:pStyle w:val="Heading1"/>
              <w:keepNext w:val="false"/>
              <w:keepLines w:val="false"/>
              <w:widowControl w:val="false"/>
              <w:spacing w:before="480" w:after="120"/>
              <w:ind w:left="1800" w:hanging="720"/>
              <w:rPr>
                <w:b w:val="false"/>
                <w:b w:val="false"/>
                <w:bCs/>
                <w:sz w:val="22"/>
                <w:szCs w:val="22"/>
              </w:rPr>
            </w:pPr>
            <w:bookmarkStart w:id="6" w:name="_heading=h.s5iuk9vbsy4w"/>
            <w:bookmarkEnd w:id="6"/>
            <w:r>
              <w:rPr>
                <w:b w:val="false"/>
                <w:bCs/>
                <w:sz w:val="22"/>
                <w:szCs w:val="22"/>
              </w:rPr>
              <w:t>3.           Difracción de Rayos X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5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15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</w:t>
            </w:r>
          </w:p>
        </w:tc>
      </w:tr>
      <w:tr>
        <w:trPr>
          <w:trHeight w:val="560" w:hRule="atLeast"/>
        </w:trPr>
        <w:tc>
          <w:tcPr>
            <w:tcW w:w="4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80" w:type="dxa"/>
              <w:right w:w="80" w:type="dxa"/>
            </w:tcMar>
          </w:tcPr>
          <w:p>
            <w:pPr>
              <w:pStyle w:val="Heading1"/>
              <w:keepNext w:val="false"/>
              <w:keepLines w:val="false"/>
              <w:widowControl w:val="false"/>
              <w:spacing w:before="480" w:after="120"/>
              <w:ind w:left="1800" w:hanging="720"/>
              <w:rPr>
                <w:b w:val="false"/>
                <w:b w:val="false"/>
                <w:bCs/>
                <w:sz w:val="22"/>
                <w:szCs w:val="22"/>
              </w:rPr>
            </w:pPr>
            <w:bookmarkStart w:id="7" w:name="_heading=h.r6oxznrz5mbs"/>
            <w:bookmarkEnd w:id="7"/>
            <w:r>
              <w:rPr>
                <w:b w:val="false"/>
                <w:bCs/>
                <w:sz w:val="22"/>
                <w:szCs w:val="22"/>
              </w:rPr>
              <w:t>4.           Otras Técnicas de Caracterización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10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18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28</w:t>
            </w:r>
          </w:p>
        </w:tc>
      </w:tr>
      <w:tr>
        <w:trPr>
          <w:trHeight w:val="394" w:hRule="atLeast"/>
        </w:trPr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right"/>
              <w:rPr>
                <w:b/>
                <w:b/>
                <w:color w:val="3E7065"/>
              </w:rPr>
            </w:pPr>
            <w:bookmarkStart w:id="8" w:name="_heading=h.dim0vlg1fq54"/>
            <w:bookmarkEnd w:id="8"/>
            <w:r>
              <w:rPr>
                <w:b/>
                <w:color w:val="3E7065"/>
              </w:rPr>
              <w:t>Totales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36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69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105</w:t>
            </w:r>
          </w:p>
        </w:tc>
      </w:tr>
    </w:tbl>
    <w:p>
      <w:pPr>
        <w:pStyle w:val="Normal"/>
        <w:pBdr/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</w:p>
    <w:tbl>
      <w:tblPr>
        <w:tblStyle w:val="ae"/>
        <w:tblW w:w="123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3254"/>
        <w:gridCol w:w="3256"/>
        <w:gridCol w:w="5850"/>
      </w:tblGrid>
      <w:tr>
        <w:trPr>
          <w:trHeight w:val="400" w:hRule="atLeast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FFFFFF"/>
              </w:rPr>
            </w:pPr>
            <w:r>
              <w:rPr>
                <w:rFonts w:cs="Calibri" w:cstheme="majorHAnsi"/>
                <w:b/>
                <w:color w:val="FFFFFF"/>
              </w:rPr>
              <w:t>Funciones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FFFFFF"/>
              </w:rPr>
            </w:pPr>
            <w:r>
              <w:rPr>
                <w:rFonts w:cs="Calibri" w:cstheme="majorHAnsi"/>
                <w:b/>
                <w:color w:val="FFFFFF"/>
              </w:rPr>
              <w:t>Capacidades</w:t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FFFFFF"/>
              </w:rPr>
            </w:pPr>
            <w:r>
              <w:rPr>
                <w:rFonts w:cs="Calibri" w:cstheme="majorHAnsi"/>
                <w:b/>
                <w:color w:val="FFFFFF"/>
              </w:rPr>
              <w:t>Criterios de Desempeño</w:t>
            </w:r>
          </w:p>
        </w:tc>
      </w:tr>
      <w:tr>
        <w:trPr>
          <w:trHeight w:val="520" w:hRule="atLeast"/>
        </w:trPr>
        <w:tc>
          <w:tcPr>
            <w:tcW w:w="3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Caracterizar nanomateriales a través de procedimientos y técnicas de laboratorio establecidas, con base en la normatividad aplicable, responsabilidad social y preservación del medio ambiente, para determinar sus propiedades fisicoquímicas e identificar sus aplicaciones.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Definir los fenómenos físicos y químicos que correlacionan los cambios estructurales y propiedades ópticas, mecánicas, físicas y químicas desde el punto de vista nanométrico, empleando herramientas matemáticas, simulación, literatura y métodos experimentales para identificar sus aplicaciones.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Presentar el reporte de una investigación documental que incluya: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-Propiedades fisicoquímicas de los nanomateriales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-Objetivo de la caracterización 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-Fundamentos de las técnicas de caracterización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</w:rPr>
              <w:t>-Selección de la técnica de caracterización y su equipo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rFonts w:eastAsia="Times New Roman"/>
                <w:color w:val="000000"/>
              </w:rPr>
              <w:t>-Descripción de la metodología de caracterización (incluir técnica y equipo)</w:t>
            </w:r>
          </w:p>
        </w:tc>
      </w:tr>
      <w:tr>
        <w:trPr>
          <w:trHeight w:val="520" w:hRule="atLeast"/>
        </w:trPr>
        <w:tc>
          <w:tcPr>
            <w:tcW w:w="3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Diseñar procedimientos con base en el tipo de nanomaterial y la aplicación del material, requerimientos del cliente o fines de investigación, normatividad aplicable, condiciones de seguridad y preservación del medio ambiente para aplicar técnicas de caracterización.</w:t>
            </w:r>
          </w:p>
          <w:p>
            <w:pPr>
              <w:pStyle w:val="NormalWeb"/>
              <w:widowControl w:val="false"/>
              <w:spacing w:before="280"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Elaborar un reporte técnico de justificación que incluya:</w:t>
            </w:r>
          </w:p>
          <w:p>
            <w:pPr>
              <w:pStyle w:val="Normal"/>
              <w:widowControl w:val="fals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 Propiedades a caracterizar</w:t>
            </w:r>
          </w:p>
          <w:p>
            <w:pPr>
              <w:pStyle w:val="Normal"/>
              <w:widowControl w:val="fals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 Requerimientos del cliente o fines de investigación</w:t>
            </w:r>
          </w:p>
          <w:p>
            <w:pPr>
              <w:pStyle w:val="Normal"/>
              <w:widowControl w:val="false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 Disponibilidad de insumos, materiales y equipo</w:t>
            </w:r>
          </w:p>
          <w:p>
            <w:pPr>
              <w:pStyle w:val="Normal"/>
              <w:widowControl w:val="false"/>
              <w:spacing w:before="0" w:after="160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 Procedimiento de caracterización</w:t>
            </w:r>
          </w:p>
        </w:tc>
      </w:tr>
      <w:tr>
        <w:trPr>
          <w:trHeight w:val="520" w:hRule="atLeast"/>
        </w:trPr>
        <w:tc>
          <w:tcPr>
            <w:tcW w:w="3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Validar los resultados de la caracterización con base en los reportes técnicos y los criterios establecidos, para emitir un dictamen sobre las propiedades del material.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Elaborar un reporte técnico de caracterización que incluya: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Identificación de la muestra (clave o registro) 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Nombre y descripción del procedimiento empleado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Resultados de las mediciones durante las etapas del procedimiento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Condiciones ambientales del laboratorio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Propiedades y características físicas y químicas de los materiales de estudio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Nombre del responsable de la caracterización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Anexo de formatos de resultados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20" w:hRule="atLeast"/>
        </w:trPr>
        <w:tc>
          <w:tcPr>
            <w:tcW w:w="3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Evaluar los resultados de la caracterización de nanomateriales documentando las condiciones, métodos experimentales, resultados de los procesos de caracterización de nanomateriales y sus posibles aplicaciones, de acuerdo con los formatos y procedimientos establecidos, así como la normatividad de seguridad, responsabilidad social y preservación del medio ambiente, para la toma de decisiones.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Validar el material de acuerdo a los resultados obtenidos con las técnicas de caracterización, para asegurar que cumpla con las especificaciones técnicas y normatividad de seguridad correspondientes.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Elaborar un reporte técnico de caracterización que incluya: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 Revisión del estado del arte del material de estudio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Descripción de las condiciones del proceso de caracterización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-Descripción del análisis de los datos obtenidos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</w:rPr>
              <w:t>-Comparación de resultados con las especificaciones técnicas</w:t>
            </w:r>
          </w:p>
        </w:tc>
      </w:tr>
      <w:tr>
        <w:trPr>
          <w:trHeight w:val="520" w:hRule="atLeast"/>
        </w:trPr>
        <w:tc>
          <w:tcPr>
            <w:tcW w:w="32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Definir las aplicaciones de los nanomateriales con base en sus características y propiedades fisicoquímicas obtenidas a través de su caracterización, para determinar sus aplicaciones a nivel macroscópico.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eastAsia="Arial" w:cs="Calibri" w:asciiTheme="majorHAnsi" w:cstheme="majorHAnsi" w:hAnsiTheme="majorHAnsi"/>
                <w:highlight w:val="white"/>
              </w:rPr>
            </w:pPr>
            <w:r>
              <w:rPr>
                <w:rFonts w:eastAsia="Arial" w:cs="Calibri" w:cstheme="majorHAnsi"/>
                <w:highlight w:val="white"/>
              </w:rPr>
            </w:r>
          </w:p>
        </w:tc>
        <w:tc>
          <w:tcPr>
            <w:tcW w:w="5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eastAsia="Arial" w:cs="Calibri" w:asciiTheme="majorHAnsi" w:cstheme="majorHAnsi" w:hAnsiTheme="majorHAnsi"/>
                <w:highlight w:val="white"/>
              </w:rPr>
            </w:pPr>
            <w:r>
              <w:rPr>
                <w:rFonts w:eastAsia="Arial" w:cs="Calibri" w:cstheme="majorHAnsi"/>
                <w:highlight w:val="white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Elaborar un reporte técnico de caracterización que incluya: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-Establecer las características necesarias del nanomaterial para aplicaciones específicas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-Evaluar las propiedades del nanomaterial con base en los resultados obtenidos de la caracterización 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eastAsia="Arial" w:cs="Calibri" w:asciiTheme="majorHAnsi" w:cstheme="majorHAnsi" w:hAnsiTheme="majorHAnsi"/>
                <w:highlight w:val="white"/>
              </w:rPr>
            </w:pPr>
            <w:r>
              <w:rPr>
                <w:color w:val="000000"/>
              </w:rPr>
              <w:t>-Determinar aplicaciones potenciales del material</w:t>
            </w:r>
          </w:p>
        </w:tc>
      </w:tr>
    </w:tbl>
    <w:p>
      <w:pPr>
        <w:pStyle w:val="Normal"/>
        <w:pBdr/>
        <w:spacing w:before="0" w:after="0"/>
        <w:jc w:val="center"/>
        <w:rPr>
          <w:b/>
          <w:b/>
          <w:color w:val="3E7065"/>
          <w:sz w:val="28"/>
          <w:szCs w:val="28"/>
        </w:rPr>
      </w:pPr>
      <w:r>
        <w:rPr>
          <w:b/>
          <w:color w:val="3E7065"/>
          <w:sz w:val="28"/>
          <w:szCs w:val="28"/>
        </w:rPr>
        <w:t>UNIDADES DE APRENDIZAJE</w:t>
      </w:r>
    </w:p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2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160"/>
              <w:contextualSpacing/>
              <w:rPr/>
            </w:pPr>
            <w:r>
              <w:rPr/>
              <w:t>Técnicas de Microscopía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</w:rPr>
            </w:pPr>
            <w:r>
              <w:rPr>
                <w:color w:val="000000"/>
              </w:rPr>
              <w:t>El estudiante determinará morfología, tamaño de partícula, componentes químicos presentes, estructuras cristalinas, tamaño de cristalito, rugosidad y posiciones atómicas en un material nanoestructurado, para establecer su aplicación en procesos nanotecnológicos.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</w:tbl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</w:p>
    <w:tbl>
      <w:tblPr>
        <w:tblStyle w:val="a3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both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Microscopía óptica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fundamentos de microscopía óptica.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Identificar la correlación entre la micrografía obtenida y micrografías patrón.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Determinar: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Tamaño de grano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Defectos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Límite de grano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Fronteras</w:t>
            </w:r>
          </w:p>
          <w:p>
            <w:pPr>
              <w:pStyle w:val="Normal"/>
              <w:widowControl w:val="false"/>
              <w:numPr>
                <w:ilvl w:val="0"/>
                <w:numId w:val="3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Fases</w:t>
            </w:r>
          </w:p>
          <w:p>
            <w:pPr>
              <w:pStyle w:val="Normal"/>
              <w:widowControl w:val="false"/>
              <w:spacing w:before="0" w:after="160"/>
              <w:ind w:left="780" w:hanging="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Analizar de manera proactiva y mediante el trabajo en equipo, la problemática a resolver, siendo responsables de la veracidad de los resultados.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  <w:color w:val="000000"/>
              </w:rPr>
            </w:pPr>
            <w:r>
              <w:rPr>
                <w:rFonts w:cs="Calibri" w:cstheme="majorHAnsi"/>
                <w:color w:val="000000"/>
              </w:rPr>
              <w:t>Desarrollar el pensamiento analítico a través del análisis de casos.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Microscopía Electrónica de Barrido (MEB)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fundamentos de MEB.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componentes del MEB.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Identificar la función del equipo de espectroscopia de discriminación de energía (EDS) acoplado al MEB.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Determinar la morfología superficial y tamaño de partícula.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Determinar la distribución cualitativa y cuantitativa de los elementos químicos presentes en la muestra.</w:t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Microscopia Electrónica de Transmisión (MET)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fundamentos de MET.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componentes del MET.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Identificar, a partir de una micrografía de MET: tamaño de partícula, tamaño de cristal, posiciones atómicas y distancias interplanares.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Microscopía de Fuerza Atómica (AFM) y de Efecto Túnel (STM)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el fundamento de la técnica microscopía de fuerza atómica (AFM) y microscopía de efecto túnel (STM).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Reconocer los componentes de los equipos AFM y STM.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Diferenciar las técnicas AFM y STM.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Identificar las aplicaciones de AFM y STM.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Identificar, a partir de una micrografía de AFM/STM: rugosidad superficial, perfil XYZ de la muestra y morfología.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</w:tbl>
    <w:p>
      <w:pPr>
        <w:pStyle w:val="Normal"/>
        <w:spacing w:before="0" w:after="0"/>
        <w:rPr>
          <w:rFonts w:ascii="Calibri" w:hAnsi="Calibri" w:cs="Calibri" w:asciiTheme="majorHAnsi" w:cstheme="majorHAnsi" w:hAnsiTheme="majorHAnsi"/>
        </w:rPr>
      </w:pPr>
      <w:r>
        <w:rPr>
          <w:rFonts w:cs="Calibri" w:cstheme="majorHAnsi"/>
        </w:rPr>
      </w:r>
    </w:p>
    <w:tbl>
      <w:tblPr>
        <w:tblStyle w:val="a4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FFFFFF"/>
              </w:rPr>
            </w:pPr>
            <w:r>
              <w:rPr>
                <w:rFonts w:cs="Calibri" w:cstheme="majorHAnsi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3E7065"/>
              </w:rPr>
            </w:pPr>
            <w:r>
              <w:rPr>
                <w:rFonts w:cs="Calibri" w:cstheme="majorHAnsi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X</w:t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Prácticas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Trabajos de Investigación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Análisis de casos (Discusión)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Aprendizaje basado en problemas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Equipos colaborativos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Materiales y equipo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Equipo de cómputo</w:t>
            </w:r>
          </w:p>
          <w:p>
            <w:pPr>
              <w:pStyle w:val="Normal"/>
              <w:widowControl w:val="false"/>
              <w:rPr/>
            </w:pPr>
            <w:r>
              <w:rPr/>
              <w:t>Internet</w:t>
            </w:r>
          </w:p>
          <w:p>
            <w:pPr>
              <w:pStyle w:val="Normal"/>
              <w:widowControl w:val="false"/>
              <w:rPr/>
            </w:pPr>
            <w:r>
              <w:rPr/>
              <w:t>Impresos de casos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Artículos Científicos </w:t>
            </w:r>
          </w:p>
          <w:p>
            <w:pPr>
              <w:pStyle w:val="Normal"/>
              <w:widowControl w:val="false"/>
              <w:rPr/>
            </w:pPr>
            <w:r>
              <w:rPr/>
              <w:t>Manuales de seguridad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Equipo de seguridad </w:t>
            </w:r>
          </w:p>
          <w:p>
            <w:pPr>
              <w:pStyle w:val="Normal"/>
              <w:widowControl w:val="false"/>
              <w:rPr/>
            </w:pPr>
            <w:r>
              <w:rPr/>
              <w:t>Equipo básico de laboratorio sugerido: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Balanza analítica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Cortadora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Pulidora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Microscopio metalográfico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especializado de laboratorio sugerido: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Microscopio electrónico de barrido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Microscopio electrónico de transmisión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Microscopio de fuerza atómica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pBdr/>
        <w:spacing w:before="0" w:after="0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5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040"/>
        <w:gridCol w:w="4806"/>
        <w:gridCol w:w="2664"/>
      </w:tblGrid>
      <w:tr>
        <w:trPr>
          <w:trHeight w:val="237" w:hRule="atLeast"/>
        </w:trPr>
        <w:tc>
          <w:tcPr>
            <w:tcW w:w="1251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de Evaluación</w:t>
            </w:r>
          </w:p>
        </w:tc>
      </w:tr>
      <w:tr>
        <w:trPr>
          <w:trHeight w:val="274" w:hRule="atLeast"/>
        </w:trPr>
        <w:tc>
          <w:tcPr>
            <w:tcW w:w="50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Resultado de Aprendizaje</w:t>
            </w:r>
          </w:p>
        </w:tc>
        <w:tc>
          <w:tcPr>
            <w:tcW w:w="4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Evidencia de Aprendizaje</w:t>
            </w:r>
          </w:p>
        </w:tc>
        <w:tc>
          <w:tcPr>
            <w:tcW w:w="2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Instrumentos de evaluación</w:t>
            </w:r>
          </w:p>
        </w:tc>
      </w:tr>
      <w:tr>
        <w:trPr>
          <w:trHeight w:val="360" w:hRule="atLeast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1. Reconoce e identifica los fundamentos de microscopía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2. Describe las técnicas de microscopía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3. Relaciona las técnicas de microscopía de acuerdo a la naturaleza de la muestra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4. Interpreta las micrografías obtenidas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 partir de un caso práctico, entregará un reporte que contenga: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Justificación de las técnicas empleadas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Procedimiento del tratamiento de la muestra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Micrografías y espectros de la muestra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Resultados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Análisis de resultados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Conclusiones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2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Ejercicios prácticos con rúbrica</w:t>
            </w:r>
          </w:p>
          <w:p>
            <w:pPr>
              <w:pStyle w:val="Normal"/>
              <w:widowControl w:val="false"/>
              <w:spacing w:before="0" w:after="160"/>
              <w:jc w:val="both"/>
              <w:rPr>
                <w:b/>
                <w:b/>
              </w:rPr>
            </w:pPr>
            <w:r>
              <w:rPr/>
              <w:t>Lista de cotejo </w:t>
            </w:r>
          </w:p>
        </w:tc>
      </w:tr>
    </w:tbl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2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160"/>
              <w:contextualSpacing/>
              <w:rPr/>
            </w:pPr>
            <w:r>
              <w:rPr/>
              <w:t>Métodos Espectroscópicos y de Análisis Cualitativo y Cuantitativo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</w:rPr>
            </w:pPr>
            <w:r>
              <w:rPr>
                <w:color w:val="000000"/>
              </w:rPr>
              <w:t>El estudiante determinará cualitativamente y cuantitativamente las especies en una muestra de material, para establecer su aplicación en procesos nanotecnológicos.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</w:tbl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</w:p>
    <w:tbl>
      <w:tblPr>
        <w:tblStyle w:val="a3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UV-Visible (UV-Vis)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Reconocer los fundamentos de UV-Visible, para muestras sólidas y líquidas.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Reconocer el procedimiento para realizar un análisis, para muestras sólidas y líquidas.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elementos para la interpretación de los espectros obtenidos, de las muestras dadas.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la molécula presente en la muestra dada.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Determinar el plasmón de resonancia superficial para nanopartículas metálicas.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Determinar la energía de banda prohibida (Eg) en muestras sólidas, en el equipo de UV-Vis.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Analizar de manera proactiva y mediante el trabajo en equipo, la problemática a resolver, siendo responsables de la veracidad de los resultados.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Desarrollar el pensamiento analítico a través del análisis de casos.</w:t>
            </w:r>
          </w:p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Infrarrojo (IR) y de la Transformada de Fourier por infrarrojo (FT-IR)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Reconocer los fundamentos de Infrarrojo, para muestras sólidas y líquidas.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Reconocer el procedimiento para realizar un análisis, en muestras sólidas y líquidas.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Establecer la correlación de los espectros de IR con la estructura molecular de la muestra dada.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elementos para la interpretación de los espectros obtenidos, de las muestras dadas.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los componentes presentes en una muestra dada.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 xml:space="preserve">RAMAN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Reconocer los fundamentos de la técnica RAMAN.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Reconocer el procedimiento para realizar la preparación y acondicionamiento de la muestra.</w:t>
            </w:r>
          </w:p>
          <w:p>
            <w:pPr>
              <w:pStyle w:val="Normal"/>
              <w:widowControl w:val="false"/>
              <w:rPr/>
            </w:pPr>
            <w:r>
              <w:rPr/>
              <w:t>Determinar la interpretación de los espectros obtenidos.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la interacción entre elementos de los componentes presentes en una muestra dada.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Absorción atómica (EAA)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Comprender los fundamentos de la espectroscopia por absorción atómica: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/>
            </w:pPr>
            <w:r>
              <w:rPr/>
              <w:t>EAA: ICP-MS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las partes del equipo de absorción atómica.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Comprender el proceso de atomización en el equipo de absorción atómica.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Comprender los tipos y fuentes de espectros atómicos.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 las ventajas de la técnica de - EAA: ICP-MS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 aplicaciones de la técnica de - EAA: ICP-MS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la concentración de los componentes presentes en: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/>
            </w:pPr>
            <w:r>
              <w:rPr/>
              <w:t>Muestras orgánicas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rPr/>
            </w:pPr>
            <w:r>
              <w:rPr/>
              <w:t>Muestras inorgánicas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Resonancia Magnética Nuclear (RMN)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Identificar fundamentos de RMN.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componentes del equipo de RMN.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Explicar el procedimiento para el análisis de RMN.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Establecer la correlación de los espectros obtenidos por RMN con la estructura molecular de la muestra dada.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elementos para la interpretación de los espectros de RMN obtenidos a partir de muestras dadas.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Determinar los desplazamientos químicos y constantes de acoplamiento en muestras.</w:t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a4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X</w:t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Prácticas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Trabajos de Investigación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Análisis de casos (Discusión)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Aprendizaje basado en problemas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Equipos colaborativos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Equipo de cómputo</w:t>
            </w:r>
          </w:p>
          <w:p>
            <w:pPr>
              <w:pStyle w:val="Normal"/>
              <w:widowControl w:val="false"/>
              <w:rPr/>
            </w:pPr>
            <w:r>
              <w:rPr/>
              <w:t>Internet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Impresos de casos </w:t>
            </w:r>
          </w:p>
          <w:p>
            <w:pPr>
              <w:pStyle w:val="Normal"/>
              <w:widowControl w:val="false"/>
              <w:rPr/>
            </w:pPr>
            <w:r>
              <w:rPr/>
              <w:t>Material y equipo de laboratorio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básico de laboratorio sugerido: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Balanza analítica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Parrilla de calentamiento con agitación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de UV-Visible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de laboratorio sugerido: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de resonancia magnética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de IR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de EAA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de ICP</w:t>
            </w:r>
          </w:p>
          <w:p>
            <w:pPr>
              <w:pStyle w:val="Normal"/>
              <w:widowControl w:val="false"/>
              <w:rPr/>
            </w:pPr>
            <w:r>
              <w:rPr/>
              <w:t>•</w:t>
            </w:r>
            <w:r>
              <w:rPr/>
              <w:tab/>
              <w:t>Equipo RAMAN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pBdr/>
        <w:spacing w:before="0" w:after="0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5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040"/>
        <w:gridCol w:w="4664"/>
        <w:gridCol w:w="2806"/>
      </w:tblGrid>
      <w:tr>
        <w:trPr>
          <w:trHeight w:val="237" w:hRule="atLeast"/>
        </w:trPr>
        <w:tc>
          <w:tcPr>
            <w:tcW w:w="1251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de Evaluación</w:t>
            </w:r>
          </w:p>
        </w:tc>
      </w:tr>
      <w:tr>
        <w:trPr>
          <w:trHeight w:val="274" w:hRule="atLeast"/>
        </w:trPr>
        <w:tc>
          <w:tcPr>
            <w:tcW w:w="50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Resultado de Aprendizaje</w:t>
            </w:r>
          </w:p>
        </w:tc>
        <w:tc>
          <w:tcPr>
            <w:tcW w:w="4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Evidencia de Aprendizaje</w:t>
            </w:r>
          </w:p>
        </w:tc>
        <w:tc>
          <w:tcPr>
            <w:tcW w:w="2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Instrumentos de evaluación</w:t>
            </w:r>
          </w:p>
        </w:tc>
      </w:tr>
      <w:tr>
        <w:trPr>
          <w:trHeight w:val="360" w:hRule="atLeast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1. Identifica las técnicas de espectrometría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2. Identifica las propiedades a evaluar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3. Relaciona las técnicas de acuerdo a la naturaleza de la muestra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bCs/>
              </w:rPr>
            </w:pPr>
            <w:r>
              <w:rPr/>
              <w:t>4. Interpreta los espectros obtenidos</w:t>
            </w:r>
          </w:p>
        </w:tc>
        <w:tc>
          <w:tcPr>
            <w:tcW w:w="46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 partir de un caso práctico, elaborará un reporte que contenga: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Justificación de la técnica utilizada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Procedimiento de preparación de la muestra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 xml:space="preserve">Evidencia de los espectros 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Discusión de los espectros</w:t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•        </w:t>
            </w:r>
            <w:r>
              <w:rPr>
                <w:bCs/>
                <w:color w:val="000000"/>
              </w:rPr>
              <w:t>Conclusiones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28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t>Ejercicios prácticos con rúbrica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Lista de cotejo </w:t>
            </w:r>
          </w:p>
        </w:tc>
      </w:tr>
    </w:tbl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2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1"/>
              </w:numPr>
              <w:spacing w:before="0" w:after="160"/>
              <w:contextualSpacing/>
              <w:rPr/>
            </w:pPr>
            <w:r>
              <w:rPr/>
              <w:t>Difracción de Rayos X (XRD)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</w:rPr>
            </w:pPr>
            <w:r>
              <w:rPr>
                <w:color w:val="000000"/>
              </w:rPr>
              <w:t>El estudiante determinará fases cristalinas en una muestra de material, para establecer su aplicación en procesos nanotecnológicos.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</w:tbl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</w:p>
    <w:tbl>
      <w:tblPr>
        <w:tblStyle w:val="a3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Fundamentos de la técnica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Explicar los fundamentos de la difracción de Rayos X: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Naturaleza y origen de los Rayos X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Espectro de Rayos X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Longitud de onda característica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Fuente de electrones acelerados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Fuente de rayos X</w:t>
            </w:r>
          </w:p>
          <w:p>
            <w:pPr>
              <w:pStyle w:val="ListParagraph"/>
              <w:widowControl w:val="false"/>
              <w:numPr>
                <w:ilvl w:val="0"/>
                <w:numId w:val="5"/>
              </w:numPr>
              <w:ind w:left="510" w:hanging="360"/>
              <w:rPr/>
            </w:pPr>
            <w:r>
              <w:rPr/>
              <w:t>Ley de Bragg y los fenómenos de difracción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Ser analítico y proactivo con la capacidad de trabajar en equipo en la solución de problemas de manera responsable.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Desarrollar el pensamiento analítico a través del análisis de casos.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Preparación de muestras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Describir la técnica de preparación de muestra para la caracterización por difracción de rayos X: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rPr/>
            </w:pPr>
            <w:r>
              <w:rPr/>
              <w:t>Secado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rPr/>
            </w:pPr>
            <w:r>
              <w:rPr/>
              <w:t xml:space="preserve">Pulverizado y homogenización 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rPr/>
            </w:pPr>
            <w:r>
              <w:rPr/>
              <w:t>Mezcla de la muestra con un soporte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rPr/>
            </w:pPr>
            <w:r>
              <w:rPr/>
              <w:t>Montaje de la muestra en porta muestras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Realizar la preparación y montaje de muestras para el análisis por difracción de rayos X.</w:t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Técnicas de Difracción de rayos X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Identificar la técnica de difracción de rayos X, de cristal giratorio, cristal oscilatorio, de Weissenber, con radiación monocromática y polvo cristalino.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Interpretar en difractogramas de materiales nanoestructurados: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rPr/>
            </w:pPr>
            <w:r>
              <w:rPr/>
              <w:t xml:space="preserve">Fases cristalinas 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rPr/>
            </w:pPr>
            <w:r>
              <w:rPr/>
              <w:t xml:space="preserve">Tamaños de cristales 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rPr/>
            </w:pPr>
            <w:r>
              <w:rPr/>
              <w:t>Tamaño de partícula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rPr/>
            </w:pPr>
            <w:r>
              <w:rPr/>
              <w:t xml:space="preserve">Fase de transformación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</w:tbl>
    <w:p>
      <w:pPr>
        <w:pStyle w:val="Normal"/>
        <w:spacing w:before="0" w:after="0"/>
        <w:rPr/>
      </w:pPr>
      <w:r>
        <w:rPr/>
      </w:r>
    </w:p>
    <w:tbl>
      <w:tblPr>
        <w:tblStyle w:val="a4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X</w:t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Prácticas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Trabajos de Investigación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Análisis de casos (Discusión)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/>
            </w:pPr>
            <w:r>
              <w:rPr>
                <w:rFonts w:cs="Calibri" w:ascii="Calibri" w:hAnsi="Calibri"/>
                <w:color w:val="000000"/>
                <w:sz w:val="22"/>
                <w:szCs w:val="22"/>
              </w:rPr>
              <w:t>Aprendizaje basado en problemas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Equipos colaborativos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Materiales y equipo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Equipo de cómputo</w:t>
            </w:r>
          </w:p>
          <w:p>
            <w:pPr>
              <w:pStyle w:val="Normal"/>
              <w:widowControl w:val="false"/>
              <w:rPr/>
            </w:pPr>
            <w:r>
              <w:rPr/>
              <w:t>Internet</w:t>
            </w:r>
          </w:p>
          <w:p>
            <w:pPr>
              <w:pStyle w:val="Normal"/>
              <w:widowControl w:val="false"/>
              <w:rPr/>
            </w:pPr>
            <w:r>
              <w:rPr/>
              <w:t>Impresos de casos</w:t>
            </w:r>
          </w:p>
          <w:p>
            <w:pPr>
              <w:pStyle w:val="Normal"/>
              <w:widowControl w:val="false"/>
              <w:rPr/>
            </w:pPr>
            <w:r>
              <w:rPr/>
              <w:t>Artículos Científicos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de laboratorio sugerido: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•        </w:t>
            </w:r>
            <w:r>
              <w:rPr/>
              <w:t>Difractómetro para polvos (DRX)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pBdr/>
        <w:spacing w:before="0" w:after="0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5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040"/>
        <w:gridCol w:w="4079"/>
        <w:gridCol w:w="3391"/>
      </w:tblGrid>
      <w:tr>
        <w:trPr>
          <w:trHeight w:val="237" w:hRule="atLeast"/>
        </w:trPr>
        <w:tc>
          <w:tcPr>
            <w:tcW w:w="1251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de Evaluación</w:t>
            </w:r>
          </w:p>
        </w:tc>
      </w:tr>
      <w:tr>
        <w:trPr>
          <w:trHeight w:val="274" w:hRule="atLeast"/>
        </w:trPr>
        <w:tc>
          <w:tcPr>
            <w:tcW w:w="50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Resultado de Aprendizaje</w:t>
            </w:r>
          </w:p>
        </w:tc>
        <w:tc>
          <w:tcPr>
            <w:tcW w:w="4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Evidencia de Aprendizaje</w:t>
            </w:r>
          </w:p>
        </w:tc>
        <w:tc>
          <w:tcPr>
            <w:tcW w:w="3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Instrumentos de evaluación</w:t>
            </w:r>
          </w:p>
        </w:tc>
      </w:tr>
      <w:tr>
        <w:trPr>
          <w:trHeight w:val="360" w:hRule="atLeast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1. Identifica los fundamentos de DRX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2. Identifica los fundamentos de preparación de muestras para DRX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3. Explica la técnica de DRX en materiales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4. Interpreta los resultados de DRX con los patrones de difracción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A partir de un caso práctico, entregará un reporte que contenga: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Descripción de la técnica de DRX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Descripción del proceso de tratamiento de la muestra para la técnica de DRX.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Interpretación del difractograma de material del caso de estudio: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Fases cristalinas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 xml:space="preserve">Tamaños de cristales 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Tamaño de partícula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Fase de transformación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33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color w:val="000000"/>
              </w:rPr>
              <w:t>Ejercicios prácticos con rúbrica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color w:val="000000"/>
              </w:rPr>
              <w:t>Lista de cotejo </w:t>
            </w:r>
          </w:p>
        </w:tc>
      </w:tr>
    </w:tbl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pBdr/>
        <w:spacing w:before="0" w:after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f"/>
        <w:tblW w:w="1248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205"/>
        <w:gridCol w:w="1530"/>
        <w:gridCol w:w="1440"/>
        <w:gridCol w:w="2355"/>
        <w:gridCol w:w="1934"/>
        <w:gridCol w:w="1620"/>
        <w:gridCol w:w="1395"/>
      </w:tblGrid>
      <w:tr>
        <w:trPr>
          <w:trHeight w:val="44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>Unidad de Aprendizaje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spacing w:before="0" w:after="160"/>
              <w:rPr>
                <w:rFonts w:ascii="Calibri" w:hAnsi="Calibri" w:eastAsia="Arial" w:cs="Calibri" w:asciiTheme="majorHAnsi" w:cstheme="majorHAnsi" w:hAnsiTheme="majorHAnsi"/>
              </w:rPr>
            </w:pPr>
            <w:r>
              <w:rPr>
                <w:rFonts w:eastAsia="Arial" w:cs="Calibri" w:cstheme="majorHAnsi"/>
              </w:rPr>
              <w:t>Otras Técnicas de Caracterización</w:t>
            </w:r>
          </w:p>
        </w:tc>
      </w:tr>
      <w:tr>
        <w:trPr>
          <w:trHeight w:val="420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color w:val="FFFFFF"/>
              </w:rPr>
            </w:pPr>
            <w:r>
              <w:rPr>
                <w:color w:val="FFFFFF"/>
              </w:rPr>
              <w:t xml:space="preserve">Propósito esperado </w:t>
            </w:r>
          </w:p>
        </w:tc>
        <w:tc>
          <w:tcPr>
            <w:tcW w:w="102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160"/>
              <w:rPr>
                <w:rFonts w:ascii="Calibri" w:hAnsi="Calibri" w:cs="Calibri" w:asciiTheme="majorHAnsi" w:cstheme="majorHAnsi" w:hAnsiTheme="majorHAnsi"/>
                <w:color w:val="000000"/>
              </w:rPr>
            </w:pPr>
            <w:r>
              <w:rPr>
                <w:rFonts w:eastAsia="Arial" w:cs="Calibri" w:cstheme="majorHAnsi"/>
                <w:highlight w:val="white"/>
              </w:rPr>
              <w:t>El estudiante determinara los cambios físicos y químicos en una muestra de material, para establecer su aplicación en procesos nanotecnológicos.</w:t>
            </w:r>
          </w:p>
        </w:tc>
      </w:tr>
      <w:tr>
        <w:trPr>
          <w:trHeight w:val="735" w:hRule="atLeast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Tiempo Asignado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FFFFFF"/>
              </w:rPr>
            </w:pPr>
            <w:r>
              <w:rPr>
                <w:b/>
                <w:color w:val="FFFFFF"/>
              </w:rPr>
              <w:t xml:space="preserve">Horas del Saber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/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Horas del Saber Hacer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/>
              <w:t>18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Horas Totales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000000"/>
              </w:rPr>
            </w:pPr>
            <w:r>
              <w:rPr/>
              <w:t>28</w:t>
            </w:r>
          </w:p>
        </w:tc>
      </w:tr>
    </w:tbl>
    <w:p>
      <w:pPr>
        <w:pStyle w:val="Normal"/>
        <w:pBdr/>
        <w:spacing w:before="0" w:after="0"/>
        <w:rPr>
          <w:color w:val="000000"/>
        </w:rPr>
      </w:pPr>
      <w:r>
        <w:rPr>
          <w:color w:val="000000"/>
        </w:rPr>
      </w:r>
    </w:p>
    <w:tbl>
      <w:tblPr>
        <w:tblStyle w:val="af0"/>
        <w:tblW w:w="12510" w:type="dxa"/>
        <w:jc w:val="left"/>
        <w:tblInd w:w="-7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609"/>
        <w:gridCol w:w="3826"/>
        <w:gridCol w:w="3375"/>
        <w:gridCol w:w="2699"/>
      </w:tblGrid>
      <w:tr>
        <w:trPr>
          <w:trHeight w:val="81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Temas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Conceptual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Saber Hacer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Actuacional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pBdr/>
              <w:spacing w:lineRule="auto" w:line="259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Ser y Convivir</w:t>
            </w:r>
          </w:p>
          <w:p>
            <w:pPr>
              <w:pStyle w:val="Normal"/>
              <w:widowControl w:val="false"/>
              <w:pBdr/>
              <w:spacing w:lineRule="auto" w:line="259"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Dimensión Socioafectiva</w:t>
            </w:r>
          </w:p>
        </w:tc>
      </w:tr>
      <w:tr>
        <w:trPr>
          <w:trHeight w:val="44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Termogravimetría (TGA)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eastAsia="Arial"/>
              </w:rPr>
            </w:pPr>
            <w:r>
              <w:rPr>
                <w:rFonts w:eastAsia="Arial"/>
              </w:rPr>
              <w:t xml:space="preserve">Identificar los conceptos de: 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rPr>
                <w:rFonts w:eastAsia="Arial"/>
              </w:rPr>
            </w:pPr>
            <w:r>
              <w:rPr>
                <w:rFonts w:eastAsia="Arial"/>
              </w:rPr>
              <w:t>Humedad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rPr>
                <w:rFonts w:eastAsia="Arial"/>
              </w:rPr>
            </w:pPr>
            <w:r>
              <w:rPr>
                <w:rFonts w:eastAsia="Arial"/>
              </w:rPr>
              <w:t>Técnicas de secado convencional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rPr>
                <w:rFonts w:eastAsia="Arial"/>
              </w:rPr>
            </w:pPr>
            <w:r>
              <w:rPr>
                <w:rFonts w:eastAsia="Arial"/>
              </w:rPr>
              <w:t>Técnicas de secado por irradiación IR</w:t>
            </w:r>
          </w:p>
          <w:p>
            <w:pPr>
              <w:pStyle w:val="ListParagraph"/>
              <w:widowControl w:val="false"/>
              <w:numPr>
                <w:ilvl w:val="0"/>
                <w:numId w:val="8"/>
              </w:numPr>
              <w:spacing w:before="0" w:after="160"/>
              <w:contextualSpacing/>
              <w:rPr/>
            </w:pPr>
            <w:r>
              <w:rPr>
                <w:rFonts w:eastAsia="Arial"/>
              </w:rPr>
              <w:t>Identificar el fundamento de operación del equipo para TGA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a partir de termogramas: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9"/>
              </w:numPr>
              <w:rPr/>
            </w:pPr>
            <w:r>
              <w:rPr/>
              <w:t>Volátiles y humedad</w:t>
            </w:r>
          </w:p>
          <w:p>
            <w:pPr>
              <w:pStyle w:val="ListParagraph"/>
              <w:widowControl w:val="false"/>
              <w:numPr>
                <w:ilvl w:val="0"/>
                <w:numId w:val="9"/>
              </w:numPr>
              <w:rPr/>
            </w:pPr>
            <w:r>
              <w:rPr/>
              <w:t>Descomposición de sustancias o materiales</w:t>
            </w:r>
          </w:p>
          <w:p>
            <w:pPr>
              <w:pStyle w:val="ListParagraph"/>
              <w:widowControl w:val="false"/>
              <w:numPr>
                <w:ilvl w:val="0"/>
                <w:numId w:val="9"/>
              </w:numPr>
              <w:rPr/>
            </w:pPr>
            <w:r>
              <w:rPr/>
              <w:t>Composición</w:t>
            </w:r>
          </w:p>
          <w:p>
            <w:pPr>
              <w:pStyle w:val="ListParagraph"/>
              <w:widowControl w:val="false"/>
              <w:numPr>
                <w:ilvl w:val="0"/>
                <w:numId w:val="9"/>
              </w:numPr>
              <w:spacing w:before="0" w:after="160"/>
              <w:contextualSpacing/>
              <w:rPr/>
            </w:pPr>
            <w:r>
              <w:rPr/>
              <w:t>Análisis de cenizas</w:t>
            </w:r>
          </w:p>
        </w:tc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Utilizar su capacidad de análisis para trabajar de forma proactiva en objetivos grupales que reten su capacidad de síntesis y esto se vea aplicado en la solución de problemas de forma responsable.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Desarrollar el pensamiento analítico a través del análisis de casos.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Análisis Térmico Diferencial (DTA)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Identificar el principio del DTA.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cambios físicos y químicos ocurridos en la muestra.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el fundamento de operación del equipo para DTA.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a partir de termogramas: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10"/>
              </w:numPr>
              <w:rPr/>
            </w:pPr>
            <w:r>
              <w:rPr/>
              <w:t>Temperatura de fusión y evaporación</w:t>
            </w:r>
          </w:p>
          <w:p>
            <w:pPr>
              <w:pStyle w:val="ListParagraph"/>
              <w:widowControl w:val="false"/>
              <w:numPr>
                <w:ilvl w:val="0"/>
                <w:numId w:val="10"/>
              </w:numPr>
              <w:rPr/>
            </w:pPr>
            <w:r>
              <w:rPr/>
              <w:t>Cambios de fase cristalina</w:t>
            </w:r>
          </w:p>
          <w:p>
            <w:pPr>
              <w:pStyle w:val="ListParagraph"/>
              <w:widowControl w:val="false"/>
              <w:numPr>
                <w:ilvl w:val="0"/>
                <w:numId w:val="10"/>
              </w:numPr>
              <w:rPr/>
            </w:pPr>
            <w:r>
              <w:rPr/>
              <w:t>Reacciones oxidativas</w:t>
            </w:r>
          </w:p>
          <w:p>
            <w:pPr>
              <w:pStyle w:val="ListParagraph"/>
              <w:widowControl w:val="false"/>
              <w:numPr>
                <w:ilvl w:val="0"/>
                <w:numId w:val="10"/>
              </w:numPr>
              <w:rPr/>
            </w:pPr>
            <w:r>
              <w:rPr/>
              <w:t>Especies minerales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Calorimetría Diferencial de Barrido (DSC)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Identificar el principio del DSC.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Describir los cambios físicos y químicos ocurridos en la muestra.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Identificar el fundamento de operación del calorímetro. 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Determinar a partir de termogramas: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ListParagraph"/>
              <w:widowControl w:val="false"/>
              <w:numPr>
                <w:ilvl w:val="0"/>
                <w:numId w:val="11"/>
              </w:numPr>
              <w:rPr/>
            </w:pPr>
            <w:r>
              <w:rPr/>
              <w:t>Temperatura de fusión y evaporación</w:t>
            </w:r>
          </w:p>
          <w:p>
            <w:pPr>
              <w:pStyle w:val="ListParagraph"/>
              <w:widowControl w:val="false"/>
              <w:numPr>
                <w:ilvl w:val="0"/>
                <w:numId w:val="11"/>
              </w:numPr>
              <w:rPr/>
            </w:pPr>
            <w:r>
              <w:rPr/>
              <w:t>Cambios de fase cristalina</w:t>
            </w:r>
          </w:p>
          <w:p>
            <w:pPr>
              <w:pStyle w:val="ListParagraph"/>
              <w:widowControl w:val="false"/>
              <w:numPr>
                <w:ilvl w:val="0"/>
                <w:numId w:val="11"/>
              </w:numPr>
              <w:rPr/>
            </w:pPr>
            <w:r>
              <w:rPr/>
              <w:t>Reacciones oxidativas</w:t>
            </w:r>
          </w:p>
          <w:p>
            <w:pPr>
              <w:pStyle w:val="ListParagraph"/>
              <w:widowControl w:val="false"/>
              <w:numPr>
                <w:ilvl w:val="0"/>
                <w:numId w:val="11"/>
              </w:numPr>
              <w:rPr/>
            </w:pPr>
            <w:r>
              <w:rPr/>
              <w:t>Especies minerales</w:t>
            </w:r>
          </w:p>
          <w:p>
            <w:pPr>
              <w:pStyle w:val="ListParagraph"/>
              <w:widowControl w:val="false"/>
              <w:numPr>
                <w:ilvl w:val="0"/>
                <w:numId w:val="11"/>
              </w:numPr>
              <w:rPr/>
            </w:pPr>
            <w:r>
              <w:rPr/>
              <w:t>Energía de reacción química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Fundamentos y Aplicaciones de la técnica de magnetometría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Identificar los fundamentos de la técnica magnetométrica.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Explicar los métodos magnetométricos:</w:t>
            </w:r>
          </w:p>
          <w:p>
            <w:pPr>
              <w:pStyle w:val="Normal"/>
              <w:widowControl w:val="false"/>
              <w:rPr/>
            </w:pPr>
            <w:r>
              <w:rPr/>
              <w:t>Vibracional</w:t>
            </w:r>
          </w:p>
          <w:p>
            <w:pPr>
              <w:pStyle w:val="ListParagraph"/>
              <w:widowControl w:val="false"/>
              <w:numPr>
                <w:ilvl w:val="0"/>
                <w:numId w:val="12"/>
              </w:numPr>
              <w:rPr/>
            </w:pPr>
            <w:r>
              <w:rPr/>
              <w:t>Kerr</w:t>
            </w:r>
          </w:p>
          <w:p>
            <w:pPr>
              <w:pStyle w:val="ListParagraph"/>
              <w:widowControl w:val="false"/>
              <w:numPr>
                <w:ilvl w:val="0"/>
                <w:numId w:val="12"/>
              </w:numPr>
              <w:rPr/>
            </w:pPr>
            <w:r>
              <w:rPr/>
              <w:t>SQUID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las aplicaciones de las técnicas magnetométricos en la caracterización de:</w:t>
            </w:r>
          </w:p>
          <w:p>
            <w:pPr>
              <w:pStyle w:val="ListParagraph"/>
              <w:widowControl w:val="false"/>
              <w:numPr>
                <w:ilvl w:val="0"/>
                <w:numId w:val="13"/>
              </w:numPr>
              <w:rPr/>
            </w:pPr>
            <w:r>
              <w:rPr/>
              <w:t>Líquidos</w:t>
            </w:r>
          </w:p>
          <w:p>
            <w:pPr>
              <w:pStyle w:val="ListParagraph"/>
              <w:widowControl w:val="false"/>
              <w:numPr>
                <w:ilvl w:val="0"/>
                <w:numId w:val="13"/>
              </w:numPr>
              <w:rPr/>
            </w:pPr>
            <w:r>
              <w:rPr/>
              <w:t>Sólidos: polvos y películas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las ventajas de la técnica magnetométrica.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Interpretar la dirección de las líneas de flujo magnético en líquidos y sólidos.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Interpretar cualitativamente y cuantitativamente anomalías magnéticas en materiales.</w:t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  <w:tr>
        <w:trPr>
          <w:trHeight w:val="420" w:hRule="atLeast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Cromatografía de Gases y HPLC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Identificar los fundamentos de la técnica.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Identificar los diferentes tipos de cromatografía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Identificar las aplicaciones de la técnica.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Determinar a partir de un cromatograma:</w:t>
            </w:r>
          </w:p>
          <w:p>
            <w:pPr>
              <w:pStyle w:val="Normal"/>
              <w:widowControl w:val="false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Presencia de compuestos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Cuantificación de compuestos</w:t>
            </w:r>
          </w:p>
          <w:p>
            <w:pPr>
              <w:pStyle w:val="Normal"/>
              <w:widowControl w:val="false"/>
              <w:spacing w:before="0" w:after="1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2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</w:r>
          </w:p>
        </w:tc>
      </w:tr>
    </w:tbl>
    <w:p>
      <w:pPr>
        <w:pStyle w:val="Normal"/>
        <w:spacing w:before="0" w:after="0"/>
        <w:rPr>
          <w:rFonts w:ascii="Calibri" w:hAnsi="Calibri" w:cs="Calibri" w:asciiTheme="majorHAnsi" w:cstheme="majorHAnsi" w:hAnsiTheme="majorHAnsi"/>
        </w:rPr>
      </w:pPr>
      <w:r>
        <w:rPr>
          <w:rFonts w:cs="Calibri" w:cstheme="majorHAnsi"/>
        </w:rPr>
      </w:r>
    </w:p>
    <w:tbl>
      <w:tblPr>
        <w:tblStyle w:val="af1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280"/>
        <w:gridCol w:w="4290"/>
        <w:gridCol w:w="2100"/>
        <w:gridCol w:w="839"/>
      </w:tblGrid>
      <w:tr>
        <w:trPr>
          <w:trHeight w:val="404" w:hRule="atLeast"/>
        </w:trPr>
        <w:tc>
          <w:tcPr>
            <w:tcW w:w="125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FFFFFF"/>
              </w:rPr>
            </w:pPr>
            <w:r>
              <w:rPr>
                <w:rFonts w:cs="Calibri" w:cstheme="majorHAnsi"/>
                <w:b/>
                <w:color w:val="FFFFFF"/>
              </w:rPr>
              <w:t>Proceso Enseñanza-Aprendizaje</w:t>
            </w:r>
          </w:p>
        </w:tc>
      </w:tr>
      <w:tr>
        <w:trPr>
          <w:trHeight w:val="192" w:hRule="atLeast"/>
        </w:trPr>
        <w:tc>
          <w:tcPr>
            <w:tcW w:w="5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Métodos y técnicas de enseñanza</w:t>
            </w:r>
          </w:p>
        </w:tc>
        <w:tc>
          <w:tcPr>
            <w:tcW w:w="4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Medios y materiales didácticos</w:t>
            </w:r>
          </w:p>
        </w:tc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  <w:t>Espacio Formativo</w:t>
            </w:r>
          </w:p>
        </w:tc>
      </w:tr>
      <w:tr>
        <w:trPr>
          <w:trHeight w:val="285" w:hRule="atLeast"/>
        </w:trPr>
        <w:tc>
          <w:tcPr>
            <w:tcW w:w="5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</w:r>
          </w:p>
        </w:tc>
        <w:tc>
          <w:tcPr>
            <w:tcW w:w="42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rFonts w:ascii="Calibri" w:hAnsi="Calibri" w:cs="Calibri" w:asciiTheme="majorHAnsi" w:cstheme="majorHAnsi" w:hAnsiTheme="majorHAnsi"/>
                <w:color w:val="FFFFFF"/>
              </w:rPr>
            </w:pPr>
            <w:r>
              <w:rPr>
                <w:rFonts w:cs="Calibri" w:cstheme="majorHAnsi"/>
                <w:color w:val="FFFFFF"/>
              </w:rPr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3E7065"/>
              </w:rPr>
            </w:pPr>
            <w:r>
              <w:rPr>
                <w:rFonts w:cs="Calibri" w:cstheme="majorHAnsi"/>
                <w:b/>
                <w:color w:val="3E7065"/>
              </w:rPr>
              <w:t>Aula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X</w:t>
            </w:r>
          </w:p>
        </w:tc>
      </w:tr>
      <w:tr>
        <w:trPr>
          <w:trHeight w:val="360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Prácticas de laboratorio</w:t>
            </w:r>
          </w:p>
          <w:p>
            <w:pPr>
              <w:pStyle w:val="Normal"/>
              <w:widowControl w:val="false"/>
              <w:rPr/>
            </w:pPr>
            <w:r>
              <w:rPr/>
              <w:t>Trabajos de Investigación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Equipo colaborativo</w:t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Equipo de cómputo</w:t>
            </w:r>
          </w:p>
          <w:p>
            <w:pPr>
              <w:pStyle w:val="Normal"/>
              <w:widowControl w:val="false"/>
              <w:rPr/>
            </w:pPr>
            <w:r>
              <w:rPr/>
              <w:t>Internet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Software para simulación de pruebas térmicas </w:t>
            </w:r>
          </w:p>
          <w:p>
            <w:pPr>
              <w:pStyle w:val="Normal"/>
              <w:widowControl w:val="false"/>
              <w:rPr/>
            </w:pPr>
            <w:r>
              <w:rPr/>
              <w:t>Manuales de seguridad</w:t>
            </w:r>
          </w:p>
          <w:p>
            <w:pPr>
              <w:pStyle w:val="Normal"/>
              <w:widowControl w:val="false"/>
              <w:rPr/>
            </w:pPr>
            <w:r>
              <w:rPr/>
              <w:t>Equipo de seguridad</w:t>
            </w:r>
          </w:p>
          <w:p>
            <w:pPr>
              <w:pStyle w:val="Normal"/>
              <w:widowControl w:val="false"/>
              <w:rPr/>
            </w:pPr>
            <w:r>
              <w:rPr/>
              <w:t>Muestras de materiales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básico de laboratorio sugerido:</w:t>
            </w:r>
          </w:p>
          <w:p>
            <w:pPr>
              <w:pStyle w:val="ListParagraph"/>
              <w:widowControl w:val="false"/>
              <w:numPr>
                <w:ilvl w:val="0"/>
                <w:numId w:val="14"/>
              </w:numPr>
              <w:rPr/>
            </w:pPr>
            <w:r>
              <w:rPr/>
              <w:t>Balanza analítica</w:t>
            </w:r>
          </w:p>
          <w:p>
            <w:pPr>
              <w:pStyle w:val="ListParagraph"/>
              <w:widowControl w:val="false"/>
              <w:numPr>
                <w:ilvl w:val="0"/>
                <w:numId w:val="14"/>
              </w:numPr>
              <w:rPr/>
            </w:pPr>
            <w:r>
              <w:rPr/>
              <w:t>Mufla</w:t>
            </w:r>
          </w:p>
          <w:p>
            <w:pPr>
              <w:pStyle w:val="ListParagraph"/>
              <w:widowControl w:val="false"/>
              <w:numPr>
                <w:ilvl w:val="0"/>
                <w:numId w:val="14"/>
              </w:numPr>
              <w:rPr/>
            </w:pPr>
            <w:r>
              <w:rPr/>
              <w:t>Parrilla de calentamiento</w:t>
            </w:r>
          </w:p>
          <w:p>
            <w:pPr>
              <w:pStyle w:val="ListParagraph"/>
              <w:widowControl w:val="false"/>
              <w:numPr>
                <w:ilvl w:val="0"/>
                <w:numId w:val="14"/>
              </w:numPr>
              <w:rPr/>
            </w:pPr>
            <w:r>
              <w:rPr/>
              <w:t>Termómetro o termopar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Equipo especializado de Laboratorio sugerido:</w:t>
            </w:r>
          </w:p>
          <w:p>
            <w:pPr>
              <w:pStyle w:val="ListParagraph"/>
              <w:widowControl w:val="false"/>
              <w:numPr>
                <w:ilvl w:val="0"/>
                <w:numId w:val="15"/>
              </w:numPr>
              <w:rPr/>
            </w:pPr>
            <w:r>
              <w:rPr/>
              <w:t>DTA</w:t>
            </w:r>
          </w:p>
          <w:p>
            <w:pPr>
              <w:pStyle w:val="ListParagraph"/>
              <w:widowControl w:val="false"/>
              <w:numPr>
                <w:ilvl w:val="0"/>
                <w:numId w:val="15"/>
              </w:numPr>
              <w:rPr/>
            </w:pPr>
            <w:r>
              <w:rPr/>
              <w:t>TGA</w:t>
            </w:r>
          </w:p>
          <w:p>
            <w:pPr>
              <w:pStyle w:val="ListParagraph"/>
              <w:widowControl w:val="false"/>
              <w:numPr>
                <w:ilvl w:val="0"/>
                <w:numId w:val="15"/>
              </w:numPr>
              <w:rPr/>
            </w:pPr>
            <w:r>
              <w:rPr/>
              <w:t>DSC</w:t>
            </w:r>
          </w:p>
          <w:p>
            <w:pPr>
              <w:pStyle w:val="ListParagraph"/>
              <w:widowControl w:val="false"/>
              <w:numPr>
                <w:ilvl w:val="0"/>
                <w:numId w:val="15"/>
              </w:numPr>
              <w:rPr/>
            </w:pPr>
            <w:r>
              <w:rPr/>
              <w:t>HPLC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  <w:b/>
                <w:b/>
                <w:color w:val="3E7065"/>
              </w:rPr>
            </w:pPr>
            <w:r>
              <w:rPr>
                <w:rFonts w:cs="Calibri" w:cstheme="majorHAnsi"/>
                <w:b/>
                <w:color w:val="3E7065"/>
              </w:rPr>
              <w:t>Laboratorio / Taller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Calibri" w:hAnsi="Calibri" w:cs="Calibri" w:asciiTheme="majorHAnsi" w:cstheme="majorHAnsi" w:hAnsiTheme="majorHAnsi"/>
              </w:rPr>
            </w:pPr>
            <w:r>
              <w:rPr>
                <w:rFonts w:cs="Calibri" w:cstheme="majorHAnsi"/>
              </w:rPr>
              <w:t>X</w:t>
            </w:r>
          </w:p>
        </w:tc>
      </w:tr>
      <w:tr>
        <w:trPr>
          <w:trHeight w:val="388" w:hRule="atLeast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3E7065"/>
              </w:rPr>
            </w:pPr>
            <w:r>
              <w:rPr>
                <w:b/>
                <w:color w:val="3E7065"/>
              </w:rPr>
              <w:t>Empresa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pBdr/>
        <w:spacing w:before="0" w:after="0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f2"/>
        <w:tblW w:w="12510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5040"/>
        <w:gridCol w:w="4522"/>
        <w:gridCol w:w="2948"/>
      </w:tblGrid>
      <w:tr>
        <w:trPr>
          <w:trHeight w:val="237" w:hRule="atLeast"/>
        </w:trPr>
        <w:tc>
          <w:tcPr>
            <w:tcW w:w="1251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Proceso de Evaluación</w:t>
            </w:r>
          </w:p>
        </w:tc>
      </w:tr>
      <w:tr>
        <w:trPr>
          <w:trHeight w:val="274" w:hRule="atLeast"/>
        </w:trPr>
        <w:tc>
          <w:tcPr>
            <w:tcW w:w="50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Resultado de Aprendizaje</w:t>
            </w:r>
          </w:p>
        </w:tc>
        <w:tc>
          <w:tcPr>
            <w:tcW w:w="4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Evidencia de Aprendizaje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Instrumentos de evaluación</w:t>
            </w:r>
          </w:p>
        </w:tc>
      </w:tr>
      <w:tr>
        <w:trPr>
          <w:trHeight w:val="360" w:hRule="atLeast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1. Identifica otras técnicas complementarias para la determinación de propiedades de un material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2. Define la propiedad física o química deseada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3. Comprende el fundamento de la operación de los equipos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4. Comprende los resultados obtenidos en los diagramas</w:t>
            </w:r>
          </w:p>
        </w:tc>
        <w:tc>
          <w:tcPr>
            <w:tcW w:w="4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>A partir de un caso práctico, entregará un reporte que contenga: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Justificación de la técnica utilizada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Descripción del proceso de análisis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Evidencia de los diagramas obtenidos</w:t>
            </w:r>
          </w:p>
          <w:p>
            <w:pPr>
              <w:pStyle w:val="Normal"/>
              <w:widowControl w:val="false"/>
              <w:spacing w:before="0" w:after="160"/>
              <w:rPr>
                <w:color w:val="000000"/>
              </w:rPr>
            </w:pPr>
            <w:r>
              <w:rPr>
                <w:color w:val="000000"/>
              </w:rPr>
              <w:t xml:space="preserve">•        </w:t>
            </w:r>
            <w:r>
              <w:rPr>
                <w:color w:val="000000"/>
              </w:rPr>
              <w:t>Propiedades determinadas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>
                <w:color w:val="000000"/>
              </w:rPr>
              <w:t>Ejercicios prácticos con rúbrica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</w:rPr>
              <w:t>Lista de cotejo </w:t>
            </w:r>
          </w:p>
        </w:tc>
      </w:tr>
    </w:tbl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  <w:t xml:space="preserve"> </w:t>
      </w:r>
    </w:p>
    <w:p>
      <w:pPr>
        <w:pStyle w:val="Normal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af3"/>
        <w:tblW w:w="12525" w:type="dxa"/>
        <w:jc w:val="left"/>
        <w:tblInd w:w="-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4169"/>
        <w:gridCol w:w="4141"/>
        <w:gridCol w:w="4215"/>
      </w:tblGrid>
      <w:tr>
        <w:trPr/>
        <w:tc>
          <w:tcPr>
            <w:tcW w:w="12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Perfil idóneo del docente</w:t>
            </w:r>
          </w:p>
        </w:tc>
      </w:tr>
      <w:tr>
        <w:trPr/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Formación académica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Formación Pedagógica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Experiencia Profesional</w:t>
            </w:r>
          </w:p>
        </w:tc>
      </w:tr>
      <w:tr>
        <w:trPr/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</w:r>
          </w:p>
          <w:p>
            <w:pPr>
              <w:pStyle w:val="Normal"/>
              <w:widowControl w:val="fals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Ingenieria, Maestría y/o Doctorado en el área de materiales o áreas afines: Metalurgia, Nanotecnológos, Tecnología Avanzada, Química.</w:t>
            </w:r>
          </w:p>
          <w:p>
            <w:pPr>
              <w:pStyle w:val="Normal"/>
              <w:widowControl w:val="false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Con experiencia docente, cursos o capacitaciones en el enfoque basado en competencias y manejo de TIC’s para fines didácticos.</w:t>
            </w:r>
          </w:p>
        </w:tc>
        <w:tc>
          <w:tcPr>
            <w:tcW w:w="4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1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Preferentemente en el área de su formación profesional, procesos de manufactura de materiales, laboratorio de pruebas físicas y mecánicas, caracterización de materiales</w:t>
            </w:r>
          </w:p>
        </w:tc>
      </w:tr>
    </w:tbl>
    <w:p>
      <w:pPr>
        <w:pStyle w:val="Normal"/>
        <w:spacing w:before="0" w:after="0"/>
        <w:rPr>
          <w:b/>
          <w:b/>
        </w:rPr>
      </w:pPr>
      <w:r>
        <w:rPr>
          <w:b/>
        </w:rPr>
      </w:r>
    </w:p>
    <w:tbl>
      <w:tblPr>
        <w:tblStyle w:val="af4"/>
        <w:tblW w:w="12509" w:type="dxa"/>
        <w:jc w:val="left"/>
        <w:tblInd w:w="-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2355"/>
        <w:gridCol w:w="2354"/>
        <w:gridCol w:w="2356"/>
        <w:gridCol w:w="2041"/>
        <w:gridCol w:w="1486"/>
        <w:gridCol w:w="1916"/>
      </w:tblGrid>
      <w:tr>
        <w:trPr>
          <w:trHeight w:val="282" w:hRule="atLeast"/>
        </w:trPr>
        <w:tc>
          <w:tcPr>
            <w:tcW w:w="12508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Referencias bibliográficas</w:t>
            </w:r>
          </w:p>
        </w:tc>
      </w:tr>
      <w:tr>
        <w:trPr>
          <w:trHeight w:val="274" w:hRule="atLeast"/>
        </w:trPr>
        <w:tc>
          <w:tcPr>
            <w:tcW w:w="23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Autor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Año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Título del documento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Lugar de publicación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Editorial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ISBN</w:t>
            </w:r>
          </w:p>
        </w:tc>
      </w:tr>
      <w:tr>
        <w:trPr>
          <w:trHeight w:val="360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Skoog Douglas A., Donald M. West, F. James Holler y Stanley R. Crouch.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2017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Principles of Instrumental Analysis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USA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Cengage Learning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9786075193779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S. K. CHATTERJEE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2010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  <w:shd w:fill="FFFFFF" w:val="clear"/>
              </w:rPr>
              <w:t>X-Ray Diffraction: its theory and applications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New Delhi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  <w:shd w:fill="FFFFFF" w:val="clear"/>
              </w:rPr>
              <w:t>Prentice-Hall of India Learning Pvt. Ltd.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  <w:shd w:fill="FFFFFF" w:val="clear"/>
              </w:rPr>
              <w:t>9788120341944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Charles K. Mann, Thomas J. Vickers and Wilson M. Gulick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2005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Concise Encyclopedia of Materials Characterization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Chicago, USA,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Harper &amp; Row, Publisher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4D5156"/>
                <w:shd w:fill="FFFFFF" w:val="clear"/>
              </w:rPr>
              <w:t>9</w:t>
            </w:r>
            <w:r>
              <w:rPr>
                <w:color w:val="000000"/>
                <w:shd w:fill="FFFFFF" w:val="clear"/>
              </w:rPr>
              <w:t>780060425357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Ríos, A., Moreno, M.C.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2012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/>
              <w:t>Técnicas espectroscópicas en química analítica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Madrid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SINTESIS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9788499589312</w:t>
            </w:r>
          </w:p>
          <w:p>
            <w:pPr>
              <w:pStyle w:val="Normal"/>
              <w:widowControl w:val="false"/>
              <w:spacing w:before="0" w:after="160"/>
              <w:rPr>
                <w:color w:val="4D5156"/>
                <w:shd w:fill="FFFFFF" w:val="clear"/>
              </w:rPr>
            </w:pPr>
            <w:r>
              <w:rPr>
                <w:color w:val="4D5156"/>
                <w:shd w:fill="FFFFFF" w:val="clear"/>
              </w:rPr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Shindo, D., Kenji, H.</w:t>
            </w:r>
          </w:p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2012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High-Resolution Electron Microscopy for Materials Science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Tokyo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SPRINGER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9784431684220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Franco, V., Dodrill, B.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2021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Magnetic measurement techniques for materials characterization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España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SPRINGER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9783030704421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Mahmood Barbooti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2015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Environmental Applications of Instrumental Chemical Analysis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New York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Apple Academic Press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9780429160547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Faraldos, M., Goberna, C.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2011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>
                <w:color w:val="000000"/>
                <w:shd w:fill="FFFFFF" w:val="clear"/>
              </w:rPr>
              <w:t>Técnicas de análisis y caracterización de materiales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España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Consejo Superior de Investigaciones Científicas 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9788400094362</w:t>
            </w:r>
          </w:p>
        </w:tc>
      </w:tr>
      <w:tr>
        <w:trPr>
          <w:trHeight w:val="405" w:hRule="atLeast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  <w:t>Anwar Ul-Hamid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/>
            </w:pPr>
            <w:r>
              <w:rPr/>
              <w:t>2018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A Beginners’ Guide to</w:t>
            </w:r>
          </w:p>
          <w:p>
            <w:pPr>
              <w:pStyle w:val="Normal"/>
              <w:widowControl w:val="false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Scanning Electron</w:t>
            </w:r>
          </w:p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Microscopy</w:t>
            </w:r>
          </w:p>
        </w:tc>
        <w:tc>
          <w:tcPr>
            <w:tcW w:w="2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hd w:fill="FFFFFF" w:val="clear"/>
              </w:rPr>
            </w:pPr>
            <w:r>
              <w:rPr>
                <w:color w:val="000000"/>
                <w:shd w:fill="FFFFFF" w:val="clear"/>
              </w:rPr>
              <w:t>SPRIGER</w:t>
            </w:r>
          </w:p>
        </w:tc>
        <w:tc>
          <w:tcPr>
            <w:tcW w:w="1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color w:val="000000"/>
                <w:spacing w:val="17"/>
              </w:rPr>
            </w:pPr>
            <w:r>
              <w:rPr>
                <w:color w:val="000000"/>
                <w:spacing w:val="17"/>
              </w:rPr>
              <w:t>9783319984810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Style w:val="af5"/>
        <w:tblW w:w="12540" w:type="dxa"/>
        <w:jc w:val="left"/>
        <w:tblInd w:w="-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980"/>
        <w:gridCol w:w="2969"/>
        <w:gridCol w:w="4576"/>
        <w:gridCol w:w="3014"/>
      </w:tblGrid>
      <w:tr>
        <w:trPr>
          <w:trHeight w:val="282" w:hRule="atLeast"/>
        </w:trPr>
        <w:tc>
          <w:tcPr>
            <w:tcW w:w="12539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3E7065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  <w:color w:val="FFFFFF"/>
              </w:rPr>
            </w:pPr>
            <w:r>
              <w:rPr>
                <w:b/>
                <w:color w:val="FFFFFF"/>
              </w:rPr>
              <w:t>Referencias digitales</w:t>
            </w:r>
          </w:p>
        </w:tc>
      </w:tr>
      <w:tr>
        <w:trPr>
          <w:trHeight w:val="274" w:hRule="atLeast"/>
        </w:trPr>
        <w:tc>
          <w:tcPr>
            <w:tcW w:w="1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Autor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Fecha de recuperación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Título del documento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434343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color w:val="FFFFFF"/>
              </w:rPr>
            </w:pPr>
            <w:r>
              <w:rPr>
                <w:color w:val="FFFFFF"/>
              </w:rPr>
              <w:t>Vínculo</w:t>
            </w:r>
          </w:p>
        </w:tc>
      </w:tr>
      <w:tr>
        <w:trPr>
          <w:trHeight w:val="360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Gallegos-Cerda, S. D., Hernández-Varela, J. D., Arredondo-Tamayo, B., &amp; Chanona Pérez, J. J.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ago 22, 2022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A review of advanced microscopy techniques for the development of nanotechnology in agriculture, food, and the environment.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10.22201/ceiich.24485691e.2023.30.69723</w:t>
            </w:r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Aditya Singh Panwar, Armender Singh, Shankar Sehgal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2020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Material characterization techniques in engineering applications: A review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hyperlink r:id="rId4">
              <w:r>
                <w:rPr/>
                <w:t>10.1016/j.matpr.2020.05.337</w:t>
              </w:r>
            </w:hyperlink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shd w:fill="FFFFFF" w:val="clear"/>
              </w:rPr>
              <w:t xml:space="preserve">Poole, C.F.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2000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i/>
                <w:iCs/>
                <w:shd w:fill="FFFFFF" w:val="clear"/>
              </w:rPr>
              <w:t>Encyclopedia of Separation Science || CHROMATOGRAPHY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shd w:fill="FFFFFF" w:val="clear"/>
              </w:rPr>
              <w:t>10.1016/b0-12-226770-2/00021-1 </w:t>
            </w:r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Suman Das, Joyeshree Biswas and Iqtiar Md Siddique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2024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Mechanical characterization of materials using advanced microscopy techniques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shd w:fill="FFFFFF" w:val="clear"/>
              </w:rPr>
            </w:pPr>
            <w:r>
              <w:rPr>
                <w:shd w:fill="FFFFFF" w:val="clear"/>
              </w:rPr>
              <w:t>10.30574/wjarr.2024.21.3.0742</w:t>
            </w:r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Paul Rostron, Safa Gaber, Dina Gaber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2016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Raman Spectroscopy, Review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/>
              <w:t>https://www.researchgate.net/profile/Paul-Rostron/publication/309179824_Raman_Spectroscopy_a_review/links/580329fe08ae23fd1b673f34/Raman-Spectroscopy-a-review.pdf</w:t>
            </w:r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shd w:fill="FFFFFF" w:val="clear"/>
              </w:rPr>
              <w:t>Andrea Orlando,</w:t>
            </w:r>
          </w:p>
          <w:p>
            <w:pPr>
              <w:pStyle w:val="Normal"/>
              <w:widowControl w:val="false"/>
              <w:rPr/>
            </w:pPr>
            <w:r>
              <w:rPr>
                <w:shd w:fill="FFFFFF" w:val="clear"/>
              </w:rPr>
              <w:t>Filippo Franceschini,</w:t>
            </w:r>
          </w:p>
          <w:p>
            <w:pPr>
              <w:pStyle w:val="Normal"/>
              <w:widowControl w:val="false"/>
              <w:rPr/>
            </w:pPr>
            <w:r>
              <w:rPr>
                <w:shd w:fill="FFFFFF" w:val="clear"/>
              </w:rPr>
              <w:t>Cristian Muscas Solomiya Pidkova,</w:t>
            </w:r>
          </w:p>
          <w:p>
            <w:pPr>
              <w:pStyle w:val="Normal"/>
              <w:widowControl w:val="false"/>
              <w:rPr/>
            </w:pPr>
            <w:r>
              <w:rPr>
                <w:shd w:fill="FFFFFF" w:val="clear"/>
              </w:rPr>
              <w:t>Mattia Bartoli</w:t>
            </w:r>
          </w:p>
          <w:p>
            <w:pPr>
              <w:pStyle w:val="Normal"/>
              <w:widowControl w:val="false"/>
              <w:rPr/>
            </w:pPr>
            <w:r>
              <w:rPr>
                <w:shd w:fill="FFFFFF" w:val="clear"/>
              </w:rPr>
              <w:t>Massimo Rovere</w:t>
            </w:r>
          </w:p>
          <w:p>
            <w:pPr>
              <w:pStyle w:val="Normal"/>
              <w:widowControl w:val="false"/>
              <w:rPr/>
            </w:pPr>
            <w:r>
              <w:rPr>
                <w:shd w:fill="FFFFFF" w:val="clear"/>
                <w:vertAlign w:val="superscript"/>
              </w:rPr>
              <w:t> </w:t>
            </w:r>
            <w:r>
              <w:rPr>
                <w:shd w:fill="FFFFFF" w:val="clear"/>
              </w:rPr>
              <w:t>and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shd w:fill="FFFFFF" w:val="clear"/>
              </w:rPr>
              <w:t>Alberto Tagliafero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2021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kern w:val="2"/>
              </w:rPr>
            </w:pPr>
            <w:r>
              <w:rPr>
                <w:kern w:val="2"/>
              </w:rPr>
              <w:t>Comprehensive Review on Raman Spectroscopy Applications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rFonts w:cs="Calibri" w:cstheme="majorHAnsi"/>
                <w:shd w:fill="FFFFFF" w:val="clear"/>
              </w:rPr>
              <w:t>10.3390/chemosensors9090262</w:t>
            </w:r>
          </w:p>
        </w:tc>
      </w:tr>
      <w:tr>
        <w:trPr>
          <w:trHeight w:val="405" w:hRule="atLeast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shd w:fill="FFFFFF" w:val="clear"/>
              </w:rPr>
              <w:t>Hill, J.O.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b/>
                <w:b/>
              </w:rPr>
            </w:pPr>
            <w:r>
              <w:rPr/>
              <w:t>2005</w:t>
            </w:r>
          </w:p>
        </w:tc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i/>
                <w:iCs/>
                <w:shd w:fill="FFFFFF" w:val="clear"/>
              </w:rPr>
              <w:t>Encyclopedia of Analytical Science Volume 6215 || THERMAL ANALYSIS | Overview.</w:t>
            </w:r>
          </w:p>
        </w:tc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160"/>
              <w:rPr>
                <w:b/>
                <w:b/>
              </w:rPr>
            </w:pPr>
            <w:r>
              <w:rPr>
                <w:shd w:fill="FFFFFF" w:val="clear"/>
              </w:rPr>
              <w:t>10.1016/b0-12-369397-7/00613-0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  <w:t xml:space="preserve"> </w:t>
      </w:r>
    </w:p>
    <w:p>
      <w:pPr>
        <w:pStyle w:val="Normal"/>
        <w:pBdr/>
        <w:spacing w:before="0" w:after="0"/>
        <w:rPr>
          <w:b/>
          <w:b/>
          <w:color w:val="000000"/>
        </w:rPr>
      </w:pPr>
      <w:r>
        <w:rPr/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orient="landscape" w:w="15840" w:h="12240"/>
      <w:pgMar w:left="1701" w:right="1701" w:gutter="0" w:header="709" w:top="1021" w:footer="709" w:bottom="851"/>
      <w:pgNumType w:start="1"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swiss"/>
    <w:pitch w:val="default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Consolas">
    <w:charset w:val="01"/>
    <w:family w:val="swiss"/>
    <w:pitch w:val="default"/>
    <w:embedRegular r:id="rId8" w:fontKey="{08014A78-CABC-4EF0-12AC-5CD89AEFDE08}"/>
  </w:font>
  <w:font w:name="URW Gothic">
    <w:charset w:val="01"/>
    <w:family w:val="swiss"/>
    <w:pitch w:val="default"/>
    <w:embedRegular r:id="rId9" w:fontKey="{09014A78-CABC-4EF0-12AC-5CD89AEFDE09}"/>
  </w:font>
  <w:font w:name="Georgia">
    <w:charset w:val="01"/>
    <w:family w:val="swiss"/>
    <w:pitch w:val="default"/>
    <w:embedRegular r:id="rId10" w:fontKey="{0A014A78-CABC-4EF0-12AC-5CD89AEFDE0A}"/>
    <w:embedItalic r:id="rId11" w:fontKey="{0B014A78-CABC-4EF0-12AC-5CD89AEFDE0B}"/>
  </w:font>
  <w:font w:name="Times New Roman">
    <w:charset w:val="01"/>
    <w:family w:val="swiss"/>
    <w:pitch w:val="default"/>
  </w:font>
  <w:font w:name="Arial">
    <w:charset w:val="01"/>
    <w:family w:val="swiss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  <w:tbl>
    <w:tblPr>
      <w:tblStyle w:val="af6"/>
      <w:tblW w:w="1232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 w:noHBand="0" w:noVBand="0" w:firstColumn="0" w:lastRow="0" w:lastColumn="0" w:firstRow="0"/>
    </w:tblPr>
    <w:tblGrid>
      <w:gridCol w:w="1271"/>
      <w:gridCol w:w="3826"/>
      <w:gridCol w:w="2128"/>
      <w:gridCol w:w="3259"/>
      <w:gridCol w:w="1844"/>
    </w:tblGrid>
    <w:tr>
      <w:trPr>
        <w:trHeight w:val="416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bookmarkStart w:id="9" w:name="_heading=h.1fob9te"/>
          <w:bookmarkEnd w:id="9"/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ELABORÓ: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GRUPO DE TRABAJO DE LA LICENCIATURA EN INGENIERÍA EN NANOTECNOLOGÍA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REVISÓ: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DIRECCIÓN GENERAL</w:t>
          </w:r>
        </w:p>
      </w:tc>
      <w:tc>
        <w:tcPr>
          <w:tcW w:w="1844" w:type="dxa"/>
          <w:vMerge w:val="restart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jc w:val="center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F-DA-01-AS-LIC-01</w:t>
          </w:r>
        </w:p>
      </w:tc>
    </w:tr>
    <w:tr>
      <w:trPr>
        <w:trHeight w:val="413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APROBÓ: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DGUTyP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VIGENTE A PARTIR DE: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SEPTIEMBRE DE 2024</w:t>
          </w:r>
        </w:p>
      </w:tc>
      <w:tc>
        <w:tcPr>
          <w:tcW w:w="1844" w:type="dxa"/>
          <w:vMerge w:val="continue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pBdr/>
            <w:spacing w:lineRule="auto" w:line="276"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</w:r>
        </w:p>
      </w:tc>
    </w:tr>
  </w:tbl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  <w:tbl>
    <w:tblPr>
      <w:tblStyle w:val="af6"/>
      <w:tblW w:w="1232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 w:noHBand="0" w:noVBand="0" w:firstColumn="0" w:lastRow="0" w:lastColumn="0" w:firstRow="0"/>
    </w:tblPr>
    <w:tblGrid>
      <w:gridCol w:w="1271"/>
      <w:gridCol w:w="3826"/>
      <w:gridCol w:w="2128"/>
      <w:gridCol w:w="3259"/>
      <w:gridCol w:w="1844"/>
    </w:tblGrid>
    <w:tr>
      <w:trPr>
        <w:trHeight w:val="416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bookmarkStart w:id="10" w:name="_heading=h.1fob9te"/>
          <w:bookmarkEnd w:id="10"/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ELABORÓ: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GRUPO DE TRABAJO DE LA LICENCIATURA EN INGENIERÍA EN NANOTECNOLOGÍA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REVISÓ: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DIRECCIÓN GENERAL</w:t>
          </w:r>
        </w:p>
      </w:tc>
      <w:tc>
        <w:tcPr>
          <w:tcW w:w="1844" w:type="dxa"/>
          <w:vMerge w:val="restart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jc w:val="center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F-DA-01-AS-LIC-01</w:t>
          </w:r>
        </w:p>
      </w:tc>
    </w:tr>
    <w:tr>
      <w:trPr>
        <w:trHeight w:val="413" w:hRule="atLeast"/>
      </w:trPr>
      <w:tc>
        <w:tcPr>
          <w:tcW w:w="127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APROBÓ:</w:t>
          </w:r>
        </w:p>
      </w:tc>
      <w:tc>
        <w:tcPr>
          <w:tcW w:w="382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b/>
              <w:b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DGUTyP</w:t>
          </w:r>
        </w:p>
      </w:tc>
      <w:tc>
        <w:tcPr>
          <w:tcW w:w="2128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632423"/>
              <w:sz w:val="16"/>
              <w:szCs w:val="16"/>
            </w:rPr>
            <w:t>VIGENTE A PARTIR DE:</w:t>
          </w:r>
        </w:p>
      </w:tc>
      <w:tc>
        <w:tcPr>
          <w:tcW w:w="325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spacing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  <w:t>SEPTIEMBRE DE 2024</w:t>
          </w:r>
        </w:p>
      </w:tc>
      <w:tc>
        <w:tcPr>
          <w:tcW w:w="1844" w:type="dxa"/>
          <w:vMerge w:val="continue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vAlign w:val="center"/>
        </w:tcPr>
        <w:p>
          <w:pPr>
            <w:pStyle w:val="Normal"/>
            <w:widowControl w:val="false"/>
            <w:pBdr/>
            <w:spacing w:lineRule="auto" w:line="276" w:before="0" w:after="160"/>
            <w:rPr>
              <w:rFonts w:ascii="Arial" w:hAnsi="Arial" w:eastAsia="Arial" w:cs="Arial"/>
              <w:color w:val="632423"/>
              <w:sz w:val="16"/>
              <w:szCs w:val="16"/>
            </w:rPr>
          </w:pPr>
          <w:r>
            <w:rPr>
              <w:rFonts w:eastAsia="Arial" w:cs="Arial" w:ascii="Arial" w:hAnsi="Arial"/>
              <w:color w:val="632423"/>
              <w:sz w:val="16"/>
              <w:szCs w:val="16"/>
            </w:rPr>
          </w:r>
        </w:p>
      </w:tc>
    </w:tr>
  </w:tbl>
  <w:p>
    <w:pPr>
      <w:pStyle w:val="Normal"/>
      <w:widowControl w:val="false"/>
      <w:pBdr/>
      <w:spacing w:lineRule="auto" w:line="276" w:before="0" w:after="0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s-MX" w:eastAsia="es-MX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pBdr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pBdr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pBdr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pBdr/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pBdr/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pBdr/>
      <w:spacing w:before="200" w:after="40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Header"/>
    <w:uiPriority w:val="99"/>
    <w:qFormat/>
    <w:rsid w:val="00bd4c6e"/>
    <w:rPr/>
  </w:style>
  <w:style w:type="character" w:styleId="PiedepginaCar" w:customStyle="1">
    <w:name w:val="Pie de página Car"/>
    <w:basedOn w:val="DefaultParagraphFont"/>
    <w:link w:val="Footer"/>
    <w:uiPriority w:val="99"/>
    <w:qFormat/>
    <w:rsid w:val="00bd4c6e"/>
    <w:rPr/>
  </w:style>
  <w:style w:type="character" w:styleId="TextosinformatoCar" w:customStyle="1">
    <w:name w:val="Texto sin formato Car"/>
    <w:basedOn w:val="DefaultParagraphFont"/>
    <w:link w:val="PlainText"/>
    <w:uiPriority w:val="99"/>
    <w:qFormat/>
    <w:rsid w:val="00b570ea"/>
    <w:rPr>
      <w:rFonts w:ascii="Consolas" w:hAnsi="Consolas" w:eastAsia="Cambria" w:cs="" w:cstheme="minorBidi" w:eastAsiaTheme="minorHAnsi"/>
      <w:kern w:val="2"/>
      <w:sz w:val="21"/>
      <w:szCs w:val="21"/>
      <w:lang w:eastAsia="en-US"/>
      <w14:ligatures w14:val="standardContextual"/>
    </w:rPr>
  </w:style>
  <w:style w:type="character" w:styleId="Appletabspan" w:customStyle="1">
    <w:name w:val="apple-tab-span"/>
    <w:basedOn w:val="DefaultParagraphFont"/>
    <w:qFormat/>
    <w:rsid w:val="008e6f0a"/>
    <w:rPr/>
  </w:style>
  <w:style w:type="character" w:styleId="InternetLink">
    <w:name w:val="Hyperlink"/>
    <w:basedOn w:val="DefaultParagraphFont"/>
    <w:uiPriority w:val="99"/>
    <w:semiHidden/>
    <w:unhideWhenUsed/>
    <w:rsid w:val="003b6c87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URW Gothic" w:hAnsi="URW Gothic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URW Gothic" w:hAnsi="URW Gothic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URW Gothic" w:hAnsi="URW Gothic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URW Gothic" w:hAnsi="URW Gothic" w:cs="Lohit Devanagari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pBdr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pBdr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bd4c6e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bd4c6e"/>
    <w:pPr>
      <w:tabs>
        <w:tab w:val="clear" w:pos="720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5e122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31db3"/>
    <w:pPr>
      <w:spacing w:before="0" w:after="160"/>
      <w:ind w:left="720" w:hanging="0"/>
      <w:contextualSpacing/>
    </w:pPr>
    <w:rPr/>
  </w:style>
  <w:style w:type="paragraph" w:styleId="PlainText">
    <w:name w:val="Plain Text"/>
    <w:basedOn w:val="Normal"/>
    <w:link w:val="TextosinformatoCar"/>
    <w:uiPriority w:val="99"/>
    <w:unhideWhenUsed/>
    <w:qFormat/>
    <w:rsid w:val="00b570ea"/>
    <w:pPr>
      <w:spacing w:lineRule="auto" w:line="240" w:before="0" w:after="0"/>
    </w:pPr>
    <w:rPr>
      <w:rFonts w:ascii="Consolas" w:hAnsi="Consolas" w:eastAsia="Cambria" w:cs="" w:cstheme="minorBidi" w:eastAsiaTheme="minorHAnsi"/>
      <w:kern w:val="2"/>
      <w:sz w:val="21"/>
      <w:szCs w:val="21"/>
      <w:lang w:eastAsia="en-US"/>
      <w14:ligatures w14:val="standardContextual"/>
    </w:rPr>
  </w:style>
  <w:style w:type="paragraph" w:styleId="NoSpacing">
    <w:name w:val="No Spacing"/>
    <w:uiPriority w:val="1"/>
    <w:qFormat/>
    <w:rsid w:val="00d10d5c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s-MX" w:eastAsia="es-MX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doi.org/10.1016/j.matpr.2020.05.337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JWC66ETRP273TFIrE6YOzItli8A==">CgMxLjAyCWguMzBqMHpsbDIIaC5namRneHMyDmguNHhsM2x4bTRubXprMg5oLmhxOHdhbjZyeDNicjIOaC5zNWl1azl2YnN5NHcyDmgucjZveHpucno1bWJzMg5oLmRpbTB2bGcxZnE1NDIJaC4xZm9iOXRlOAByITFPRGdWNVVLcFh6aXVNVENqSlk1eWU0OWwxTVRPYlRJUg==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Application>LibreOffice/7.3.7.2$Linux_X86_64 LibreOffice_project/30$Build-2</Application>
  <AppVersion>15.0000</AppVersion>
  <Pages>26</Pages>
  <Words>3016</Words>
  <Characters>18759</Characters>
  <CharactersWithSpaces>21382</CharactersWithSpaces>
  <Paragraphs>590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2024-05-14T07:56:00Z</dcterms:created>
  <dc:creator>Fabiola Aquino Caballero</dc:creator>
  <dc:description/>
  <dc:language>en-US</dc:language>
  <cp:lastModifiedBy/>
  <cp:lastPrinted>2024-05-16T21:24:00Z</cp:lastPrinted>
  <dcterms:modified xsi:type="dcterms:W3CDTF">2024-07-04T15:50:28Z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